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adjustRightInd w:val="0"/>
        <w:snapToGrid w:val="0"/>
        <w:spacing w:line="560" w:lineRule="exact"/>
        <w:ind w:firstLine="420"/>
        <w:jc w:val="center"/>
        <w:rPr>
          <w:rFonts w:ascii="方正小标宋_GBK" w:eastAsia="方正小标宋_GBK" w:cs="Times New Roman"/>
          <w:sz w:val="44"/>
          <w:szCs w:val="44"/>
        </w:rPr>
      </w:pPr>
      <w:bookmarkStart w:id="0" w:name="_GoBack"/>
      <w:bookmarkEnd w:id="0"/>
      <w:r>
        <w:rPr>
          <w:rFonts w:ascii="方正小标宋_GBK" w:eastAsia="方正小标宋_GBK" w:cs="方正小标宋_GBK" w:hint="eastAsia"/>
          <w:sz w:val="44"/>
          <w:szCs w:val="44"/>
        </w:rPr>
        <w:t>武汉海关关于发布境外技术性贸易措施风险信息的提示</w:t>
      </w:r>
    </w:p>
    <w:p>
      <w:pPr>
        <w:autoSpaceDN w:val="0"/>
        <w:adjustRightInd w:val="0"/>
        <w:snapToGrid w:val="0"/>
        <w:spacing w:line="560" w:lineRule="exact"/>
        <w:jc w:val="center"/>
        <w:rPr>
          <w:rFonts w:ascii="方正楷体_GBK" w:eastAsia="方正楷体_GBK" w:cs="Times New Roman"/>
          <w:sz w:val="32"/>
          <w:szCs w:val="32"/>
        </w:rPr>
      </w:pPr>
      <w:r>
        <w:rPr>
          <w:rFonts w:ascii="方正楷体_GBK" w:eastAsia="方正楷体_GBK" w:cs="方正楷体_GBK" w:hint="eastAsia"/>
          <w:sz w:val="32"/>
          <w:szCs w:val="32"/>
        </w:rPr>
        <w:t>（</w:t>
      </w:r>
      <w:r>
        <w:rPr>
          <w:rFonts w:ascii="方正楷体_GBK" w:eastAsia="方正楷体_GBK" w:cs="方正楷体_GBK"/>
          <w:sz w:val="32"/>
          <w:szCs w:val="32"/>
        </w:rPr>
        <w:t>202</w:t>
      </w:r>
      <w:r>
        <w:rPr>
          <w:rFonts w:ascii="方正楷体_GBK" w:eastAsia="方正楷体_GBK" w:cs="方正楷体_GBK" w:hint="eastAsia"/>
          <w:sz w:val="32"/>
          <w:szCs w:val="32"/>
        </w:rPr>
        <w:t>309期总第40期）</w:t>
      </w:r>
    </w:p>
    <w:p>
      <w:pPr>
        <w:autoSpaceDN w:val="0"/>
        <w:adjustRightInd w:val="0"/>
        <w:snapToGrid w:val="0"/>
        <w:spacing w:line="56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384"/>
        <w:gridCol w:w="567"/>
        <w:gridCol w:w="12223"/>
      </w:tblGrid>
      <w:tr>
        <w:trPr>
          <w:trHeight w:val="593"/>
        </w:trPr>
        <w:tc>
          <w:tcPr>
            <w:tcW w:w="1384" w:type="dxa"/>
          </w:tcPr>
          <w:p>
            <w:pPr>
              <w:autoSpaceDN w:val="0"/>
              <w:jc w:val="center"/>
              <w:rPr>
                <w:rFonts w:ascii="Times New Roman" w:cs="Times New Roman" w:hAnsi="Times New Roman"/>
                <w:b/>
                <w:bCs/>
              </w:rPr>
            </w:pPr>
            <w:r>
              <w:rPr>
                <w:rFonts w:ascii="Times New Roman" w:cs="Times New Roman" w:hAnsi="Times New Roman"/>
                <w:b/>
                <w:bCs/>
              </w:rPr>
              <w:t>国家</w:t>
            </w:r>
          </w:p>
          <w:p>
            <w:pPr>
              <w:autoSpaceDN w:val="0"/>
              <w:jc w:val="center"/>
              <w:rPr>
                <w:rFonts w:ascii="Times New Roman" w:cs="Times New Roman" w:hAnsi="Times New Roman"/>
                <w:b/>
                <w:bCs/>
              </w:rPr>
            </w:pPr>
            <w:r>
              <w:rPr>
                <w:rFonts w:ascii="Times New Roman" w:cs="Times New Roman" w:hAnsi="Times New Roman"/>
                <w:b/>
                <w:bCs/>
              </w:rPr>
              <w:t>（地区组织）</w:t>
            </w:r>
          </w:p>
        </w:tc>
        <w:tc>
          <w:tcPr>
            <w:tcW w:w="567" w:type="dxa"/>
          </w:tcPr>
          <w:p>
            <w:pPr>
              <w:autoSpaceDN w:val="0"/>
              <w:jc w:val="center"/>
              <w:rPr>
                <w:rFonts w:ascii="Times New Roman" w:cs="Times New Roman" w:hAnsi="Times New Roman"/>
              </w:rPr>
            </w:pPr>
            <w:r>
              <w:rPr>
                <w:rFonts w:ascii="Times New Roman" w:cs="Times New Roman" w:hAnsi="Times New Roman"/>
                <w:b/>
                <w:bCs/>
              </w:rPr>
              <w:t>序号</w:t>
            </w:r>
          </w:p>
        </w:tc>
        <w:tc>
          <w:tcPr>
            <w:tcW w:w="12223" w:type="dxa"/>
          </w:tcPr>
          <w:p>
            <w:pPr>
              <w:autoSpaceDN w:val="0"/>
              <w:jc w:val="center"/>
              <w:rPr>
                <w:rFonts w:ascii="Times New Roman" w:cs="Times New Roman" w:hAnsi="Times New Roman"/>
              </w:rPr>
            </w:pPr>
            <w:r>
              <w:rPr>
                <w:rFonts w:ascii="Times New Roman" w:cs="Times New Roman" w:hAnsi="Times New Roman"/>
                <w:b/>
                <w:bCs/>
                <w:sz w:val="28"/>
                <w:szCs w:val="28"/>
              </w:rPr>
              <w:t>提示信息</w:t>
            </w:r>
          </w:p>
        </w:tc>
      </w:tr>
      <w:tr>
        <w:tc>
          <w:tcPr>
            <w:tcW w:w="1384" w:type="dxa"/>
            <w:vMerge w:val="restart"/>
            <w:vAlign w:val="center"/>
          </w:tcPr>
          <w:p>
            <w:pPr>
              <w:widowControl/>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美国</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w:t>
            </w:r>
          </w:p>
        </w:tc>
        <w:tc>
          <w:tcPr>
            <w:tcW w:w="12223" w:type="dxa"/>
            <w:vAlign w:val="center"/>
          </w:tcPr>
          <w:p>
            <w:pPr>
              <w:jc w:val="left"/>
              <w:rPr>
                <w:rFonts w:ascii="宋体" w:cs="宋体"/>
                <w:sz w:val="22"/>
                <w:szCs w:val="22"/>
              </w:rPr>
            </w:pPr>
            <w:r>
              <w:rPr>
                <w:rFonts w:hint="eastAsia"/>
                <w:color w:val="000000"/>
                <w:sz w:val="22"/>
                <w:szCs w:val="22"/>
              </w:rPr>
              <w:t>重型车辆自动紧急制动； AEB测试装置。拟议规则制定通知-该拟议规则制定通知提议采用新的联邦机动车安全标准（</w:t>
            </w:r>
            <w:r>
              <w:rPr>
                <w:color w:val="000000"/>
                <w:sz w:val="22"/>
                <w:szCs w:val="22"/>
              </w:rPr>
              <w:t>F</w:t>
            </w:r>
            <w:r>
              <w:rPr>
                <w:rFonts w:hint="eastAsia"/>
                <w:color w:val="000000"/>
                <w:sz w:val="22"/>
                <w:szCs w:val="22"/>
              </w:rPr>
              <w:t>MVSS），要求在重型车辆（即车辆总重超过4536公斤的车辆</w:t>
            </w:r>
            <w:r>
              <w:rPr>
                <w:color w:val="000000"/>
                <w:sz w:val="22"/>
                <w:szCs w:val="22"/>
              </w:rPr>
              <w:t>）</w:t>
            </w:r>
            <w:r>
              <w:rPr>
                <w:rFonts w:hint="eastAsia"/>
                <w:color w:val="000000"/>
                <w:sz w:val="22"/>
                <w:szCs w:val="22"/>
              </w:rPr>
              <w:t>上安装自动紧急制动</w:t>
            </w:r>
            <w:r>
              <w:rPr>
                <w:color w:val="000000"/>
                <w:sz w:val="22"/>
                <w:szCs w:val="22"/>
              </w:rPr>
              <w:t>（</w:t>
            </w:r>
            <w:r>
              <w:rPr>
                <w:rFonts w:hint="eastAsia"/>
                <w:color w:val="000000"/>
                <w:sz w:val="22"/>
                <w:szCs w:val="22"/>
              </w:rPr>
              <w:t>AEB</w:t>
            </w:r>
            <w:r>
              <w:rPr>
                <w:color w:val="000000"/>
                <w:sz w:val="22"/>
                <w:szCs w:val="22"/>
              </w:rPr>
              <w:t>）</w:t>
            </w:r>
            <w:r>
              <w:rPr>
                <w:rFonts w:hint="eastAsia"/>
                <w:color w:val="000000"/>
                <w:sz w:val="22"/>
                <w:szCs w:val="22"/>
              </w:rPr>
              <w:t>系统。该通知还提议修订FMVSS第136号。要求几乎所有重型车辆的电子稳定性控制系统必须满足FMVSS第136号的设备要求、</w:t>
            </w:r>
            <w:r>
              <w:rPr>
                <w:color w:val="000000"/>
                <w:sz w:val="22"/>
                <w:szCs w:val="22"/>
              </w:rPr>
              <w:t>一</w:t>
            </w:r>
            <w:r>
              <w:rPr>
                <w:rFonts w:hint="eastAsia"/>
                <w:color w:val="000000"/>
                <w:sz w:val="22"/>
                <w:szCs w:val="22"/>
              </w:rPr>
              <w:t>般系统操作能力要求和故障检测要求。AEB系统采用多种传感器技术和子系统，共同感知车辆何时即将发生碰撞，并在驾驶员未采取制动措施的情况下自动采取制动措施，或自动施加更大的制动力以补充驾驶员采取的制动措施。该拟议规则制定通知在国家公路交通安全管理局于2015年批准卡车安全联盟、汽车安全中心、公路和汽车安全倡导者以及美国道路安全组织提出的规则制定申请之后发布。该申请要求国家公路交通安全管理局制定-项安全标准，要求在某些重型车辆上安装AEB。该拟议规则制定通知还响应了《两党基础设施法 案》</w:t>
            </w:r>
            <w:r>
              <w:rPr>
                <w:color w:val="000000"/>
                <w:sz w:val="22"/>
                <w:szCs w:val="22"/>
              </w:rPr>
              <w:t>（</w:t>
            </w:r>
            <w:r>
              <w:rPr>
                <w:rFonts w:hint="eastAsia"/>
                <w:color w:val="000000"/>
                <w:sz w:val="22"/>
                <w:szCs w:val="22"/>
              </w:rPr>
              <w:t>已颁布为《基础设施投资和就业法案》</w:t>
            </w:r>
            <w:r>
              <w:rPr>
                <w:color w:val="000000"/>
                <w:sz w:val="22"/>
                <w:szCs w:val="22"/>
              </w:rPr>
              <w:t>）</w:t>
            </w:r>
            <w:r>
              <w:rPr>
                <w:rFonts w:hint="eastAsia"/>
                <w:color w:val="000000"/>
                <w:sz w:val="22"/>
                <w:szCs w:val="22"/>
              </w:rPr>
              <w:t>的要求，指示交通部规定一项FMVSS，要求配备</w:t>
            </w:r>
            <w:r>
              <w:rPr>
                <w:color w:val="000000"/>
                <w:sz w:val="22"/>
                <w:szCs w:val="22"/>
              </w:rPr>
              <w:t>F</w:t>
            </w:r>
            <w:r>
              <w:rPr>
                <w:rFonts w:hint="eastAsia"/>
                <w:color w:val="000000"/>
                <w:sz w:val="22"/>
                <w:szCs w:val="22"/>
              </w:rPr>
              <w:t>MVSS要求的电子稳定性控制系统的重型商用车辆必须配备AEB系统，同时也是为了促进交通部2022年1月的国家道路安全战略，启动一项要求重型卡车配备AEB的规则制定工作。该拟议规则制定通知还提出了联邦机动车辆安全法规，要求在车辆运行期间开启电子稳定控制系统和AEB系统。</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w:t>
            </w:r>
          </w:p>
        </w:tc>
        <w:tc>
          <w:tcPr>
            <w:tcW w:w="12223" w:type="dxa"/>
            <w:vAlign w:val="center"/>
          </w:tcPr>
          <w:p>
            <w:pPr>
              <w:jc w:val="left"/>
              <w:rPr>
                <w:rFonts w:ascii="宋体" w:cs="宋体"/>
                <w:sz w:val="22"/>
                <w:szCs w:val="22"/>
              </w:rPr>
            </w:pPr>
            <w:r>
              <w:rPr>
                <w:rFonts w:hint="eastAsia"/>
                <w:color w:val="000000"/>
                <w:sz w:val="22"/>
                <w:szCs w:val="22"/>
              </w:rPr>
              <w:t> 全地形车辆标准。拟议法规制定通知——2008年消费品安全改进法案（CPSIA）要求消费品安全委员会（“CPSC”或“委员会”）公布，将美国特种车辆协会制定的《四轮全地形车设备配置和性能要求美国国家标准》（ANSI/SVIA 1- 2007）作为强制性消费品安全标准。美国消费品安全委员会于2008年11月14日发布了该强制性消费品安全标准。此后，委员会根据消费品安全法案规定的修订程序，对该强制性标准进行了两次修订。美国国家标准学会/美国汽车工业协会也再次修订了其标准。根据消费品安全法案，美国消费品安全委员会拟修订该委员会的强制性全地形车标准，以参照2023年版的美国国家标准学会/美国汽车工业协会标准。</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w:t>
            </w:r>
          </w:p>
        </w:tc>
        <w:tc>
          <w:tcPr>
            <w:tcW w:w="12223" w:type="dxa"/>
            <w:vAlign w:val="center"/>
          </w:tcPr>
          <w:p>
            <w:pPr>
              <w:jc w:val="left"/>
              <w:rPr>
                <w:rFonts w:ascii="宋体" w:cs="宋体"/>
                <w:sz w:val="22"/>
                <w:szCs w:val="22"/>
              </w:rPr>
            </w:pPr>
            <w:r>
              <w:rPr>
                <w:rFonts w:hint="eastAsia"/>
                <w:color w:val="000000"/>
                <w:sz w:val="22"/>
                <w:szCs w:val="22"/>
              </w:rPr>
              <w:t>易着火香烟标准和认证。拟议法规变更——根据科罗拉多州修订法规（C.R.S.）第24-33.5-1203.5节，科罗拉多州火灾防治处处长应颁布必要的法规，以履行火灾防治处的职责。C.R.S.第24-33.5-1214节规定了火灾防治处的权力和职责，以确保在科罗拉多州销售或提供销售的香烟符合 C.R.S.第 24-33.5-1214节规定的点火强度标准。该法规根据该授权提出，旨在符合州行政程序法案（C.R.S.第24-4-101节等）的要求。该法规变更的目的是更新第3.4节中的认证申请和重新认证程序规定，并删除第3.5节中的补充申请程序，以使法规更符合C.R.S.第24-33.5-1214节中的法定要求。如果发现任何语法和格式上的不一致或错误，也可通过此次法规变更进行全面清理。</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w:t>
            </w:r>
          </w:p>
        </w:tc>
        <w:tc>
          <w:tcPr>
            <w:tcW w:w="12223" w:type="dxa"/>
            <w:vAlign w:val="center"/>
          </w:tcPr>
          <w:p>
            <w:pPr>
              <w:jc w:val="left"/>
              <w:rPr>
                <w:rFonts w:ascii="宋体" w:cs="宋体"/>
                <w:sz w:val="22"/>
                <w:szCs w:val="22"/>
              </w:rPr>
            </w:pPr>
            <w:r>
              <w:rPr>
                <w:rFonts w:hint="eastAsia"/>
                <w:color w:val="000000"/>
                <w:sz w:val="22"/>
                <w:szCs w:val="22"/>
              </w:rPr>
              <w:t>节能计划：民用锅炉节能标准。拟议法规制定通知及2023年9月12日通过网络研讨会召开公众会议的公告——经修订的能源政策与节约法案（EPCA）规定了各种消费品和某些商业及工业设备（包括民用锅炉）的节能标准。能源政策与节约法案还要求美国能源部（DOE）定期确定更严格的标准在技术上是否可行、在经济上是否合理，以及是否会带来显著的节能效果。在该拟议法规制定通知（NOPR）中，能源部提议修订民用锅炉的节能标准，并宣布召开一次公开会议，以听取对这些拟议标准及相关分析和结果的意见。</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5</w:t>
            </w:r>
          </w:p>
        </w:tc>
        <w:tc>
          <w:tcPr>
            <w:tcW w:w="12223" w:type="dxa"/>
            <w:vAlign w:val="center"/>
          </w:tcPr>
          <w:p>
            <w:pPr>
              <w:jc w:val="left"/>
              <w:rPr>
                <w:rFonts w:ascii="宋体" w:cs="宋体"/>
                <w:sz w:val="22"/>
                <w:szCs w:val="22"/>
              </w:rPr>
            </w:pPr>
            <w:r>
              <w:rPr>
                <w:rFonts w:hint="eastAsia"/>
                <w:color w:val="000000"/>
                <w:sz w:val="22"/>
                <w:szCs w:val="22"/>
              </w:rPr>
              <w:t>拟修订空气污染控制法规第37号：罗德岛低排放车辆计划。拟议修订——该法规旨在通过或修订减少在罗德岛交付销售或投入使用的乘用车、轻型卡车、中型和重型车辆的温室气体和标准污染物排放的主要规定。罗得岛此前已采用加州的乘用车和卡车排放标准，通过此次法规制定，将进一步选择加入加州标准，修订250-RICR-120-05-37以纳入中型和重型车辆的新标准。这套法规包括采用加利福尼亚州的先进清洁卡车法规、低氮氧化物重型车综合法规和第二阶段温室气体法规，以及修订之前已在罗德岛州采用的加利福尼亚州先进清洁汽车计划，并纳入之前采用的控制标准和温室气体排放的法规。该法规适用于轻型、中型和重型发动机/车辆制造商。先进清洁卡车法规（ACT）要求到2030年至少销售30%的零排放卡车（取决于车辆分类）。低氮氧化物重型车辆综合法规要求2027车型年发动机的氮氧化物排放量减少90%。第二阶段温室气体法规规定了重型卡车和卡车拖车的温室气体排放标准。先进清洁汽车II（ACCII）（G/TBT/N/USA/1860）要求在2035年之前交付销售的所有乘用车和轻型卡车符合零排放汽车的定义，并将进一步减少新型内燃机汽车（ICEV）的烟雾形成和温室气体排放。</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6</w:t>
            </w:r>
          </w:p>
        </w:tc>
        <w:tc>
          <w:tcPr>
            <w:tcW w:w="12223" w:type="dxa"/>
            <w:vAlign w:val="center"/>
          </w:tcPr>
          <w:p>
            <w:pPr>
              <w:jc w:val="left"/>
              <w:rPr>
                <w:rFonts w:ascii="宋体" w:cs="宋体"/>
                <w:sz w:val="22"/>
                <w:szCs w:val="22"/>
              </w:rPr>
            </w:pPr>
            <w:r>
              <w:rPr>
                <w:rFonts w:hint="eastAsia"/>
                <w:color w:val="000000"/>
                <w:sz w:val="22"/>
                <w:szCs w:val="22"/>
              </w:rPr>
              <w:t>修订空气排放报告要求。拟议法规和2023年8月30日虚拟公众听证会——该措施议变更环境保护署的空气排放报告要求（AERR）。拟议的修订可能要求修改州、地方和某些部落的大气管理机构的现行法规；将要求这些机构采用与现行要求不同的方法向环境保护署报告排放数据；并将要求某些设施的所有者/经营者报告额外的排放数据。更具体地说，环境保护署拟要求某些污染源报告有害空气污染物（HAP）的排放信息；某些污染源报告标准空气污染物、其前身和有害空气污染物；并要求州、地方和某些部落大气管理机构报告规定的火灾数据。拟议的修订还将定义新方法，由大气管理机构选择性地收集有关有害空气污染物的此类信息，州、地方和某些部落的大气管理机构可通过该方法执行要求并代表所有者/经营者报告排放情况。拟议的修订还将使每年对点源的要求保持一致；逐步提前点源报告的截止日期；并增加与电力需求高峰相关的某些发电源的燃料使用数据报告要求。拟议的修订包括对机场、铁路货场、商业海运船舶、机车和非点源报告的进一步修改。对于符合该提案所述标准设施的所有者/经营者，拟议的修订将要求向环境保护署报告在最终法规制定中规定的生效日期之后进行的所有测试的性能测试和性能评估数据。环境保护署还拟澄清，环境保护署通过空气排放报告要求收集的信息属于排放数据，无需进行保密处理。</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7</w:t>
            </w:r>
          </w:p>
        </w:tc>
        <w:tc>
          <w:tcPr>
            <w:tcW w:w="12223" w:type="dxa"/>
            <w:vAlign w:val="center"/>
          </w:tcPr>
          <w:p>
            <w:pPr>
              <w:jc w:val="left"/>
              <w:rPr>
                <w:rFonts w:ascii="宋体" w:cs="宋体"/>
                <w:sz w:val="22"/>
                <w:szCs w:val="22"/>
              </w:rPr>
            </w:pPr>
            <w:r>
              <w:rPr>
                <w:rFonts w:hint="eastAsia"/>
                <w:color w:val="000000"/>
                <w:sz w:val="22"/>
                <w:szCs w:val="22"/>
              </w:rPr>
              <w:t>拟修订重型发动机和车辆综合法规。拟议法规——加州空气资源委员会（“CARB”或“委员会”）执行官（EO）根据委员会第23-15号决议授予的权力，拟考虑通过对重型（HD）发动机和车辆综合（Omnibus）法规的修订，在第23-15号决议中，委员会向执行官授予先前在第78-10号委员会决议中保留的、采纳、修订及撤销新道路机动车辆排放标准、测试程序、合规性测试程序和合规性灵活性的权力。</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8</w:t>
            </w:r>
          </w:p>
        </w:tc>
        <w:tc>
          <w:tcPr>
            <w:tcW w:w="12223" w:type="dxa"/>
            <w:vAlign w:val="center"/>
          </w:tcPr>
          <w:p>
            <w:pPr>
              <w:jc w:val="left"/>
              <w:rPr>
                <w:rFonts w:ascii="宋体" w:cs="宋体"/>
                <w:sz w:val="22"/>
                <w:szCs w:val="22"/>
              </w:rPr>
            </w:pPr>
            <w:r>
              <w:rPr>
                <w:rFonts w:hint="eastAsia"/>
                <w:color w:val="000000"/>
                <w:sz w:val="22"/>
                <w:szCs w:val="22"/>
              </w:rPr>
              <w:t>低排放汽车法规。拟议法规——修订规则以制定适用于轻型和中型车辆的新要求，并明确对现行法规的修改。拟议的修订将采用加利福尼亚州先进清洁汽车II标准，包括2027-2032年及以后车型的新零排放轻型汽车销售要求，以及2027-2032 年及以后车型的新传统燃料轻型和中型汽车的新低排放汽车排放标准，并对现行法规做出澄清变动。</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9</w:t>
            </w:r>
          </w:p>
        </w:tc>
        <w:tc>
          <w:tcPr>
            <w:tcW w:w="12223" w:type="dxa"/>
            <w:vAlign w:val="center"/>
          </w:tcPr>
          <w:p>
            <w:pPr>
              <w:jc w:val="left"/>
              <w:rPr>
                <w:rFonts w:ascii="宋体" w:cs="宋体"/>
                <w:sz w:val="22"/>
                <w:szCs w:val="22"/>
              </w:rPr>
            </w:pPr>
            <w:r>
              <w:rPr>
                <w:rFonts w:hint="eastAsia"/>
                <w:color w:val="000000"/>
                <w:sz w:val="22"/>
                <w:szCs w:val="22"/>
              </w:rPr>
              <w:t>2027-2032车型年乘用车和轻型卡车企业平均燃料经济性标准和2030-2035车型年重型皮卡和货车燃料效率标准。拟议法规制定通知——国家公路交通安全管理局（NHTSA）代表美国交通部（DOT）提出了新的乘用车和轻型卡车燃油经济性标准，以及2027-31年车型（MY）的燃油效率标准，乘用车和轻型卡车的燃油效率标准将分别以每年2%和4%的速度增长，2030-2035车型年（MY）的重型皮卡和货车（HDPUV）的新燃油效率标准将以每年10%的速度增长。国家公路交通安全管理局还提出了2032车型年乘用车和轻型卡车的拟议增强标准，与前一年的标准相比，年增长率分别为2%和4%。国家公路交通安全管理局目前预计，根据拟议的标准，2032车型年乘用车和轻型卡车的全行业平均燃料消耗量约为每加仑58英里，2038车型年重型皮卡和货车的全行业平均燃料消耗量约为每100英里2.6加仑。国家公路交通安全管理局进一步预测，拟议的标准将使乘用车和轻型卡车在整个生命周期内的平均燃料支出减少1043美元，重型皮卡和货车减少439 美元。这些拟议的标准直接响应了该机构的法定任务，即提高能源保护和减少国家对外国能源的依赖。</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10</w:t>
            </w:r>
          </w:p>
        </w:tc>
        <w:tc>
          <w:tcPr>
            <w:tcW w:w="12223" w:type="dxa"/>
            <w:vAlign w:val="center"/>
          </w:tcPr>
          <w:p>
            <w:pPr>
              <w:jc w:val="left"/>
              <w:rPr>
                <w:rFonts w:ascii="宋体" w:cs="宋体"/>
                <w:sz w:val="22"/>
                <w:szCs w:val="22"/>
              </w:rPr>
            </w:pPr>
            <w:r>
              <w:rPr>
                <w:rFonts w:hint="eastAsia"/>
                <w:color w:val="000000"/>
                <w:sz w:val="22"/>
                <w:szCs w:val="22"/>
              </w:rPr>
              <w:t>节能计划：风冷、蒸发冷却及水冷商用柜式空调及热泵的测试程序。拟议法规制定和征求意见通知；2023年9月7日星期四通过网络研讨会举行公开会议公告——美国能源部（DOE）拟修订额定制冷量大于或等于65000 Btu/h 的风冷商用柜式空调及热泵、蒸发冷却商用柜式空调和水冷商用柜式空调的联邦测试程序，以通过援引合并最新版的适用行业测试标准。具体而言，能源部拟：修订该设备现行测试程序，以分别测量当前的制冷和制热指标——综合能效比（IEER）和性能系数（COP）；并采用两项新指标为该设备制定新的测试程序——综合通风、节能和制冷（IVEC）以及综合通风和制热效率（IVHE）。在根据新指标对节能标准进行修订之前，不需要对IVEC和IVHE指标进行测试。此外，能源部还拟修改能源部法规中与相关设备的陈述和执行有关的某些条款。能源部欢迎公众就该文件范围内的任何主题（包括该提案中未提出的主题）提出书面意见，以及提交数据和其它相关信息。</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11</w:t>
            </w:r>
          </w:p>
        </w:tc>
        <w:tc>
          <w:tcPr>
            <w:tcW w:w="12223" w:type="dxa"/>
            <w:vAlign w:val="center"/>
          </w:tcPr>
          <w:p>
            <w:pPr>
              <w:jc w:val="left"/>
              <w:rPr>
                <w:rFonts w:ascii="宋体" w:cs="宋体"/>
                <w:sz w:val="22"/>
                <w:szCs w:val="22"/>
              </w:rPr>
            </w:pPr>
            <w:r>
              <w:rPr>
                <w:rFonts w:hint="eastAsia"/>
                <w:color w:val="000000"/>
                <w:sz w:val="22"/>
                <w:szCs w:val="22"/>
              </w:rPr>
              <w:t>调频地面数字音频广播系统条例。拟议法规——在本文件中，联邦通信委员会（“委员会”或“FCC”）通过了一份拟议法规制定通知，其中就修改数字音频广播技术规则的提案征求意见，这些提案允许更多调频电台在无需委员会单独授权的情况下，将调频混合数字有效辐射功率提高到现有水平以上，并允许非对称数字边带操作。这些具体的规则变更是据2019年和2022年提交的两份法规制定申请提出</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12</w:t>
            </w:r>
          </w:p>
        </w:tc>
        <w:tc>
          <w:tcPr>
            <w:tcW w:w="12223" w:type="dxa"/>
            <w:vAlign w:val="center"/>
          </w:tcPr>
          <w:p>
            <w:pPr>
              <w:jc w:val="left"/>
              <w:rPr>
                <w:rFonts w:ascii="宋体" w:cs="宋体"/>
                <w:sz w:val="22"/>
                <w:szCs w:val="22"/>
              </w:rPr>
            </w:pPr>
            <w:r>
              <w:rPr>
                <w:rFonts w:hint="eastAsia"/>
                <w:color w:val="000000"/>
                <w:sz w:val="22"/>
                <w:szCs w:val="22"/>
              </w:rPr>
              <w:t>物联网网络安全标签。拟议法规——在该文件中，联邦通信委员会（“委员会”）提出了增强消费者的信心、提高对已融入日常生活的联网设备——俗称物联网设备——安全性的了解的措施。为了让消费者放心，进入其家庭的技术合理安全，并帮助防范通信风险，委员会提出实施一项自愿性网络安全标签计划，为消费者提供易于理解、获取的信息，说明物联网设备或产品的相对安全性，并向消费者保证，贴有委员会物联网网络安全标签的设备制造商遵守广泛接受的网络安全标准。在这方面，委员会的网络安全标签计划将帮助消费者比较物联网设备并做出明智的购买决定，促使消费者购买安全性更高的设备，激励制造商达到更高的网络安全标准以满足市场需求，并鼓励零售商销售安全的设备。拟议的物联网标签将为符合物联网网络安全标准的设备提供政府支持且值得信赖的标志。</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13</w:t>
            </w:r>
          </w:p>
        </w:tc>
        <w:tc>
          <w:tcPr>
            <w:tcW w:w="12223" w:type="dxa"/>
            <w:vAlign w:val="center"/>
          </w:tcPr>
          <w:p>
            <w:pPr>
              <w:jc w:val="left"/>
              <w:rPr>
                <w:rFonts w:ascii="宋体" w:cs="宋体"/>
                <w:sz w:val="22"/>
                <w:szCs w:val="22"/>
              </w:rPr>
            </w:pPr>
            <w:r>
              <w:rPr>
                <w:rFonts w:hint="eastAsia"/>
                <w:color w:val="000000"/>
                <w:sz w:val="22"/>
                <w:szCs w:val="22"/>
              </w:rPr>
              <w:t>拟议自愿性产品标准PS 1-22，结构胶合板。可用性通知；请于2023年9月25日之前征求意见——国家标准与技术研究院（NIST）将发布自愿性产品标准PS 1-22：结构胶合板的拟议修订，以征求公众意见。该标准的修订由标准审查委员会编制，并经PS 1常设委员会批准。PS 1-22  结构胶合板规定了结构胶合板的主要类型和等级要求，为产品生产商、经销商和用户之间达成共识奠定了基础。请有关各方审阅拟议的标准，并向国家标准与技术研究院提交意见。</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14</w:t>
            </w:r>
          </w:p>
        </w:tc>
        <w:tc>
          <w:tcPr>
            <w:tcW w:w="12223" w:type="dxa"/>
            <w:vAlign w:val="center"/>
          </w:tcPr>
          <w:p>
            <w:pPr>
              <w:jc w:val="left"/>
              <w:rPr>
                <w:rFonts w:ascii="宋体" w:cs="宋体"/>
                <w:sz w:val="22"/>
                <w:szCs w:val="22"/>
              </w:rPr>
            </w:pPr>
            <w:r>
              <w:rPr>
                <w:rFonts w:hint="eastAsia"/>
                <w:color w:val="000000"/>
                <w:sz w:val="22"/>
                <w:szCs w:val="22"/>
              </w:rPr>
              <w:t>收到几份关于各种商品内/表化学农药残留的农药申请书。关于提交申请和征求意见的通知。该文件公告，环境保护署收到了几份首次提交的农药申请，要求制定或修改各种商品内/表农药残留的法规。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15</w:t>
            </w:r>
          </w:p>
        </w:tc>
        <w:tc>
          <w:tcPr>
            <w:tcW w:w="12223" w:type="dxa"/>
            <w:vAlign w:val="center"/>
          </w:tcPr>
          <w:p>
            <w:pPr>
              <w:jc w:val="left"/>
              <w:rPr>
                <w:rFonts w:ascii="宋体" w:cs="宋体"/>
                <w:sz w:val="22"/>
                <w:szCs w:val="22"/>
              </w:rPr>
            </w:pPr>
            <w:r>
              <w:rPr>
                <w:rFonts w:hint="eastAsia"/>
                <w:color w:val="000000"/>
                <w:sz w:val="22"/>
                <w:szCs w:val="22"/>
              </w:rPr>
              <w:t>茚嗪氟草胺；农药限量。最终法规。该法规规定了多种商品内/表茚嗪氟草胺的残留限量。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16</w:t>
            </w:r>
          </w:p>
        </w:tc>
        <w:tc>
          <w:tcPr>
            <w:tcW w:w="12223" w:type="dxa"/>
            <w:vAlign w:val="center"/>
          </w:tcPr>
          <w:p>
            <w:pPr>
              <w:jc w:val="left"/>
              <w:rPr>
                <w:rFonts w:ascii="宋体" w:cs="宋体"/>
                <w:sz w:val="22"/>
                <w:szCs w:val="22"/>
              </w:rPr>
            </w:pPr>
            <w:r>
              <w:rPr>
                <w:rFonts w:hint="eastAsia"/>
                <w:color w:val="000000"/>
                <w:sz w:val="22"/>
                <w:szCs w:val="22"/>
              </w:rPr>
              <w:t>三氟羧草醚钠盐；农药限量，最终法规。该法规规定了矮生浆果第13-07G亚组、大豆（蔬菜，可食荚）、大豆（蔬菜，多汁带壳）内/表三氟羧草醚钠盐的残留限量。 </w:t>
            </w:r>
          </w:p>
        </w:tc>
      </w:tr>
      <w:tr>
        <w:tc>
          <w:tcPr>
            <w:tcW w:w="1384" w:type="dxa"/>
            <w:vAlign w:val="center"/>
          </w:tcPr>
          <w:p>
            <w:pPr>
              <w:jc w:val="center"/>
              <w:textAlignment w:val="center"/>
              <w:rPr>
                <w:rFonts w:ascii="Times New Roman" w:cs="Times New Roman" w:hAnsi="Times New Roman"/>
                <w:color w:val="000000"/>
                <w:sz w:val="24"/>
                <w:szCs w:val="24"/>
              </w:rPr>
            </w:pPr>
            <w:r>
              <w:rPr>
                <w:rFonts w:ascii="Times New Roman" w:cs="Times New Roman" w:hAnsi="Times New Roman" w:hint="eastAsia"/>
                <w:color w:val="000000"/>
                <w:sz w:val="24"/>
                <w:szCs w:val="24"/>
              </w:rPr>
              <w:t>澳大利亚</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17</w:t>
            </w:r>
          </w:p>
        </w:tc>
        <w:tc>
          <w:tcPr>
            <w:tcW w:w="12223" w:type="dxa"/>
            <w:vAlign w:val="center"/>
          </w:tcPr>
          <w:p>
            <w:pPr>
              <w:rPr>
                <w:rFonts w:ascii="宋体" w:cs="宋体"/>
                <w:sz w:val="22"/>
                <w:szCs w:val="22"/>
              </w:rPr>
            </w:pPr>
            <w:r>
              <w:rPr>
                <w:rFonts w:hint="eastAsia"/>
                <w:color w:val="000000"/>
                <w:sz w:val="22"/>
                <w:szCs w:val="22"/>
              </w:rPr>
              <w:t>两项新强制性标准提案——消费品（婴儿产品）信息标准》和《消费品（婴儿睡眠产品》安全标准》。澳大利亚竞争和消费者委员会拟引入两项新强制性标准——婴儿睡眠产品的强制性安全标准和婴儿睡眠产品的强制性信息标准。随附文件的征求意见稿载列了以下方面的拟议要求：1.《2023年消费品（婴儿产品）信息标准》征求意见稿——婴儿睡眠产品（包括倾斜式非睡眠产品）的强制性信息标准将包括安全信息和警告，以便消费者更好地了解婴儿安全睡眠方法和相关风险。2. 2023年消费品（婴儿睡眠产品）安全标准》征求意见稿——婴儿睡眠产品的强制性安全标准将引入测试和设计要求，以解决与倾斜度、曲率、硬度和所用材料有关的风险，以及稳定性等既定要求。此外，还将对摇篮、折叠式婴儿床和家用婴儿床等提出具体要求，以解决产品的特定危险。</w:t>
            </w:r>
          </w:p>
        </w:tc>
      </w:tr>
      <w:tr>
        <w:trPr>
          <w:trHeight w:val="641"/>
        </w:trP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巴西</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18</w:t>
            </w:r>
          </w:p>
        </w:tc>
        <w:tc>
          <w:tcPr>
            <w:tcW w:w="12223" w:type="dxa"/>
            <w:vAlign w:val="center"/>
          </w:tcPr>
          <w:p>
            <w:pPr>
              <w:rPr>
                <w:rFonts w:ascii="宋体" w:cs="宋体"/>
                <w:sz w:val="22"/>
                <w:szCs w:val="22"/>
              </w:rPr>
            </w:pPr>
            <w:r>
              <w:rPr>
                <w:rFonts w:hint="eastAsia"/>
                <w:color w:val="000000"/>
                <w:sz w:val="22"/>
                <w:szCs w:val="22"/>
              </w:rPr>
              <w:t>2023年8月17日SDA/MAPA第877号法令。SDA/MAPA第877号法令就制定观赏鸟类及其孵化蛋的进口和检疫规范、准则和标准，以及观赏鸟类及其孵化蛋的检疫机构认证的法令草案进行为期60天的公众咨询。</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玻利维亚</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19</w:t>
            </w:r>
          </w:p>
        </w:tc>
        <w:tc>
          <w:tcPr>
            <w:tcW w:w="12223" w:type="dxa"/>
            <w:vAlign w:val="center"/>
          </w:tcPr>
          <w:p>
            <w:pPr>
              <w:jc w:val="left"/>
              <w:rPr>
                <w:rFonts w:ascii="宋体" w:cs="宋体"/>
                <w:sz w:val="22"/>
                <w:szCs w:val="22"/>
              </w:rPr>
            </w:pPr>
            <w:r>
              <w:rPr>
                <w:rFonts w:hint="eastAsia"/>
                <w:color w:val="000000"/>
                <w:sz w:val="22"/>
                <w:szCs w:val="22"/>
              </w:rPr>
              <w:t>秤型号批准技术法规草案；该技术法规适用于精度等级为I、II、III和IV级的国产及进口非自动称重仪器；在多民族玻利维亚国制造、组装或进口产品的所有国内外公共或私营个体经营者或商业公司，无论其产品的原产地或目的地，均适用该技术法规的规定。</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20</w:t>
            </w:r>
          </w:p>
        </w:tc>
        <w:tc>
          <w:tcPr>
            <w:tcW w:w="12223" w:type="dxa"/>
            <w:vAlign w:val="center"/>
          </w:tcPr>
          <w:p>
            <w:pPr>
              <w:jc w:val="left"/>
              <w:rPr>
                <w:rFonts w:ascii="宋体" w:cs="宋体"/>
                <w:sz w:val="22"/>
                <w:szCs w:val="22"/>
              </w:rPr>
            </w:pPr>
            <w:r>
              <w:rPr>
                <w:rFonts w:hint="eastAsia"/>
                <w:color w:val="000000"/>
                <w:sz w:val="22"/>
                <w:szCs w:val="22"/>
              </w:rPr>
              <w:t>LED灯最低能效标准技术法规草案  该技术法规适用于国产或进口室内照明用LED灯；在多民族玻利维亚国生产、组装或进口室内照明用LED灯的所有国内外公众或私营个体经营者或商业公司外，且无论产品的原产地或目的地在哪里，均适用该技术法规的规定。</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菲律宾</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21</w:t>
            </w:r>
          </w:p>
        </w:tc>
        <w:tc>
          <w:tcPr>
            <w:tcW w:w="12223" w:type="dxa"/>
            <w:vAlign w:val="center"/>
          </w:tcPr>
          <w:p>
            <w:pPr>
              <w:jc w:val="left"/>
              <w:rPr>
                <w:rFonts w:ascii="宋体" w:cs="宋体"/>
                <w:sz w:val="22"/>
                <w:szCs w:val="22"/>
              </w:rPr>
            </w:pPr>
            <w:r>
              <w:rPr>
                <w:rFonts w:hint="eastAsia"/>
                <w:color w:val="000000"/>
                <w:sz w:val="22"/>
                <w:szCs w:val="22"/>
              </w:rPr>
              <w:t xml:space="preserve">制定菲律宾运输车辆燃油经济标签计划（VFELP）指南供车辆制造商、进口商、分销商、经销商和改装商遵守。强制实施车辆燃油经济标签计划（除其他以外）将使消费者有权使其能够验证车辆制造商。进口商、分销商、经销商和改装商提供的信息，这将有助于选择省油的运输车辆、实现节省燃料、淘汰市场上燃油效率低的车辆、减少温室气体排放。 </w:t>
            </w:r>
          </w:p>
        </w:tc>
      </w:tr>
      <w:tr>
        <w:trPr>
          <w:trHeight w:val="90"/>
        </w:trP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22</w:t>
            </w:r>
          </w:p>
        </w:tc>
        <w:tc>
          <w:tcPr>
            <w:tcW w:w="12223" w:type="dxa"/>
            <w:vAlign w:val="center"/>
          </w:tcPr>
          <w:p>
            <w:pPr>
              <w:jc w:val="left"/>
              <w:rPr>
                <w:rFonts w:ascii="宋体" w:cs="宋体"/>
                <w:sz w:val="22"/>
                <w:szCs w:val="22"/>
              </w:rPr>
            </w:pPr>
            <w:r>
              <w:rPr>
                <w:rFonts w:hint="eastAsia"/>
                <w:color w:val="000000"/>
                <w:sz w:val="22"/>
                <w:szCs w:val="22"/>
              </w:rPr>
              <w:t>制定菲律宾运输车辆燃油经济标签计划（VFELP）项下道路运输车辆燃油经济性能评级（FEPR）指南供车辆制造商、进口商分销商经销商和改装商遵守。强制实施车辆燃由经济标签计划(除其他以外)将使消费者有权使其能够验证车辆制造商、进口商、分销商、经销商和改装商提供的信息，这将有助于选择省油的运输车辆、实现节省燃料、淘汰市场上燃油效率低的车辆、减少温室气体排放。</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23</w:t>
            </w:r>
          </w:p>
        </w:tc>
        <w:tc>
          <w:tcPr>
            <w:tcW w:w="12223" w:type="dxa"/>
            <w:vAlign w:val="center"/>
          </w:tcPr>
          <w:p>
            <w:pPr>
              <w:jc w:val="left"/>
              <w:rPr>
                <w:rFonts w:ascii="宋体" w:cs="宋体"/>
                <w:sz w:val="22"/>
                <w:szCs w:val="22"/>
              </w:rPr>
            </w:pPr>
            <w:r>
              <w:rPr>
                <w:rFonts w:hint="eastAsia"/>
                <w:color w:val="000000"/>
                <w:sz w:val="22"/>
                <w:szCs w:val="22"/>
              </w:rPr>
              <w:t>采用《世界卫生组织关于变更已批准人用疫苗和生物治疗产品的指导原则》的生物制品批准后变更申请流程和要求。该通告的目的为：1.颁布对注册生物制品进行批准后变更的经修订要求，纳入世界卫生组织和具体国家的要求；2.提供批准后变更的申请流程。</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哥斯达黎加</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24</w:t>
            </w:r>
          </w:p>
        </w:tc>
        <w:tc>
          <w:tcPr>
            <w:tcW w:w="12223" w:type="dxa"/>
            <w:vAlign w:val="center"/>
          </w:tcPr>
          <w:p>
            <w:pPr>
              <w:jc w:val="left"/>
              <w:rPr>
                <w:rFonts w:ascii="宋体" w:cs="宋体"/>
                <w:sz w:val="22"/>
                <w:szCs w:val="22"/>
              </w:rPr>
            </w:pPr>
            <w:r>
              <w:rPr>
                <w:rFonts w:hint="eastAsia"/>
                <w:color w:val="000000"/>
                <w:sz w:val="22"/>
                <w:szCs w:val="22"/>
              </w:rPr>
              <w:t>DEAS 1166：2023，袋装肥料或肥料补充剂的搬运和储存操作规范，第一版。该东非标准草案规定了搬运、储存和处置装在带或不带塑料衬垫袋中的肥料或肥料补充剂的推荐操作规范。</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25</w:t>
            </w:r>
          </w:p>
        </w:tc>
        <w:tc>
          <w:tcPr>
            <w:tcW w:w="12223" w:type="dxa"/>
            <w:vAlign w:val="center"/>
          </w:tcPr>
          <w:p>
            <w:pPr>
              <w:jc w:val="left"/>
              <w:rPr>
                <w:rFonts w:ascii="宋体" w:cs="宋体"/>
                <w:sz w:val="22"/>
                <w:szCs w:val="22"/>
              </w:rPr>
            </w:pPr>
            <w:r>
              <w:rPr>
                <w:rFonts w:hint="eastAsia"/>
                <w:color w:val="000000"/>
                <w:sz w:val="22"/>
                <w:szCs w:val="22"/>
              </w:rPr>
              <w:t>哥斯达黎加技术法规（RTCR）第510：2023号，电气产品。串灯、圣诞装饰品和家用装饰品。该技术法规的目的是根据第36979-MEIC号行政法令，制定哥斯达黎加生命财产安全电气规范（RTCR第458：2011号）的法规，规定额定电压不超过120 V的家用串灯、圣诞装饰品和装饰品应满足的最低技术要求。“季节性使用”是指产品的安装和使用时间不超过90天。</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韩国</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26</w:t>
            </w:r>
          </w:p>
        </w:tc>
        <w:tc>
          <w:tcPr>
            <w:tcW w:w="12223" w:type="dxa"/>
            <w:vAlign w:val="center"/>
          </w:tcPr>
          <w:p>
            <w:pPr>
              <w:jc w:val="left"/>
              <w:rPr>
                <w:rFonts w:ascii="宋体" w:cs="宋体"/>
                <w:sz w:val="22"/>
                <w:szCs w:val="22"/>
              </w:rPr>
            </w:pPr>
            <w:r>
              <w:rPr>
                <w:rFonts w:hint="eastAsia"/>
                <w:color w:val="000000"/>
                <w:sz w:val="22"/>
                <w:szCs w:val="22"/>
              </w:rPr>
              <w:t>修订机动车辆及零件性能法规和标准。现行的机动车辆及零件性能法规和标准将被废除。A.规定拥有特殊结构或设备、以执行如测试桥梁、搬运家具和辨别火种等某些任务的专用车辆免于适用车辆翻滚的最大倾斜角度</w:t>
            </w:r>
            <w:r>
              <w:rPr>
                <w:color w:val="000000"/>
                <w:sz w:val="22"/>
                <w:szCs w:val="22"/>
              </w:rPr>
              <w:t>（</w:t>
            </w:r>
            <w:r>
              <w:rPr>
                <w:rFonts w:hint="eastAsia"/>
                <w:color w:val="000000"/>
                <w:sz w:val="22"/>
                <w:szCs w:val="22"/>
              </w:rPr>
              <w:t>第8条</w:t>
            </w:r>
            <w:r>
              <w:rPr>
                <w:color w:val="000000"/>
                <w:sz w:val="22"/>
                <w:szCs w:val="22"/>
              </w:rPr>
              <w:t>）；</w:t>
            </w:r>
            <w:r>
              <w:rPr>
                <w:rFonts w:hint="eastAsia"/>
                <w:color w:val="000000"/>
                <w:sz w:val="22"/>
                <w:szCs w:val="22"/>
              </w:rPr>
              <w:t>B.规定胎压监测系统( TPMS )和车道偏离警告系统( LDWS)的详细法规应由国土、基础设施和交通部（MOLIT）部长进行公告(第88-3条、第89-2条、 附件6、附件6-29 )</w:t>
            </w:r>
            <w:r>
              <w:rPr>
                <w:color w:val="000000"/>
                <w:sz w:val="22"/>
                <w:szCs w:val="22"/>
              </w:rPr>
              <w:t>；</w:t>
            </w:r>
            <w:r>
              <w:rPr>
                <w:rFonts w:hint="eastAsia"/>
                <w:color w:val="000000"/>
                <w:sz w:val="22"/>
                <w:szCs w:val="22"/>
              </w:rPr>
              <w:t xml:space="preserve">C.允许连续打开应急灯以及目前同时闪烁的转向灯（附件6-19）。D.允许对中型车辆和大型车辆同样适用+100千克和+3%之间的较大值，作为车辆重量的规格公差(附件33)。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27</w:t>
            </w:r>
          </w:p>
        </w:tc>
        <w:tc>
          <w:tcPr>
            <w:tcW w:w="12223" w:type="dxa"/>
            <w:vAlign w:val="center"/>
          </w:tcPr>
          <w:p>
            <w:pPr>
              <w:jc w:val="left"/>
              <w:rPr>
                <w:rFonts w:ascii="宋体" w:cs="宋体"/>
                <w:sz w:val="22"/>
                <w:szCs w:val="22"/>
              </w:rPr>
            </w:pPr>
            <w:r>
              <w:rPr>
                <w:rFonts w:hint="eastAsia"/>
                <w:color w:val="000000"/>
                <w:sz w:val="22"/>
                <w:szCs w:val="22"/>
              </w:rPr>
              <w:t>电动水上休闲艇设施标准。规定了以下电动水上休闲艇设施标准。A.规定了有关电力推进设施、电池室、布线工作、电池的布置和要求、电力传输装置、推进轴等（第6至10条）B.规定在电力推进设施运行时，如果发生异常，通过对电池充放电、电压、电流等进行管理，紧急关闭等安全装置（第11至14 条）C.规定电池室和发动机区域的消防设施、灭火器的种类和数量、充电设施、审查期限等事项（第15至18条）。</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28</w:t>
            </w:r>
          </w:p>
        </w:tc>
        <w:tc>
          <w:tcPr>
            <w:tcW w:w="12223" w:type="dxa"/>
            <w:vAlign w:val="center"/>
          </w:tcPr>
          <w:p>
            <w:pPr>
              <w:jc w:val="left"/>
              <w:rPr>
                <w:rFonts w:ascii="宋体" w:cs="宋体"/>
                <w:sz w:val="22"/>
                <w:szCs w:val="22"/>
              </w:rPr>
            </w:pPr>
            <w:r>
              <w:rPr>
                <w:rFonts w:hint="eastAsia"/>
                <w:color w:val="000000"/>
                <w:sz w:val="22"/>
                <w:szCs w:val="22"/>
              </w:rPr>
              <w:t>拟修订“食品标签和广告法实施细则”。改进含糖醇产品的注意事项标签；明确食品的贴标签方法。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29</w:t>
            </w:r>
          </w:p>
        </w:tc>
        <w:tc>
          <w:tcPr>
            <w:tcW w:w="12223" w:type="dxa"/>
            <w:vAlign w:val="center"/>
          </w:tcPr>
          <w:p>
            <w:pPr>
              <w:jc w:val="left"/>
              <w:rPr>
                <w:rFonts w:ascii="宋体" w:cs="宋体"/>
                <w:sz w:val="22"/>
                <w:szCs w:val="22"/>
              </w:rPr>
            </w:pPr>
            <w:r>
              <w:rPr>
                <w:rFonts w:hint="eastAsia"/>
                <w:color w:val="000000"/>
                <w:sz w:val="22"/>
                <w:szCs w:val="22"/>
              </w:rPr>
              <w:t>拟修订“食品不公平标签和广告判定标准”  拟议的修订旨在：1) 扩大草药及可能被误解为药品的类似名称清单；2) 允许对未使用原料或配料进行标签或广告宣传。</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30</w:t>
            </w:r>
          </w:p>
        </w:tc>
        <w:tc>
          <w:tcPr>
            <w:tcW w:w="12223" w:type="dxa"/>
            <w:vAlign w:val="center"/>
          </w:tcPr>
          <w:p>
            <w:pPr>
              <w:jc w:val="left"/>
              <w:rPr>
                <w:rFonts w:ascii="宋体" w:cs="宋体"/>
                <w:sz w:val="22"/>
                <w:szCs w:val="22"/>
              </w:rPr>
            </w:pPr>
            <w:r>
              <w:rPr>
                <w:rFonts w:hint="eastAsia"/>
                <w:color w:val="000000"/>
                <w:sz w:val="22"/>
                <w:szCs w:val="22"/>
              </w:rPr>
              <w:t>拟修订“食品标签和广告法案执行法令”。新制定了从不公平标签和广告中排除标签和广告的规定。</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加拿大</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31</w:t>
            </w:r>
          </w:p>
        </w:tc>
        <w:tc>
          <w:tcPr>
            <w:tcW w:w="12223" w:type="dxa"/>
            <w:vAlign w:val="center"/>
          </w:tcPr>
          <w:p>
            <w:pPr>
              <w:jc w:val="left"/>
              <w:rPr>
                <w:rFonts w:ascii="宋体" w:cs="宋体"/>
                <w:sz w:val="22"/>
                <w:szCs w:val="22"/>
              </w:rPr>
            </w:pPr>
            <w:r>
              <w:rPr>
                <w:rFonts w:hint="eastAsia"/>
                <w:color w:val="000000"/>
                <w:sz w:val="22"/>
                <w:szCs w:val="22"/>
              </w:rPr>
              <w:t>修订根据机动车安全法案制定的若干法规的法规（召回信息）。拟议的监管修正案要求在其网站上发布安全召回的公司，还要及时在其网站上发布安全召回相关的信息，以提高召回的意识和完成率。拟议的修正案信息的可用性和类型进行了规范，规定了必须提供这些信息的期限 并提高加拿大人查询召回信息的能力，特别是在当前车辆或车辆设备拥有人的信息缺失、存在错误或不完整的情况下。拟议的修正案还要求交通部长（部长）指定的车辆公司提供在线搜索工具，使用唯一的17位车辆识别码 ( VIN )提供特定车辆的安全召回信息。换言之，拟议的修正案要求-些公司在其网站上提供VIN查询工具。</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32</w:t>
            </w:r>
          </w:p>
        </w:tc>
        <w:tc>
          <w:tcPr>
            <w:tcW w:w="12223" w:type="dxa"/>
            <w:vAlign w:val="center"/>
          </w:tcPr>
          <w:p>
            <w:pPr>
              <w:jc w:val="left"/>
              <w:rPr>
                <w:rFonts w:ascii="宋体" w:cs="宋体"/>
                <w:sz w:val="22"/>
                <w:szCs w:val="22"/>
              </w:rPr>
            </w:pPr>
            <w:r>
              <w:rPr>
                <w:rFonts w:hint="eastAsia"/>
                <w:color w:val="000000"/>
                <w:sz w:val="22"/>
                <w:szCs w:val="22"/>
              </w:rPr>
              <w:t>拟定最大残留限量：吡氟酰草胺（PMRL2023-39）。通报文件PMRL2023-39的目的是就加拿大卫生部有害生物管理局（PMRA）拟定的吡氟酰草胺列明最大残留限量（MRL）征求意见。最大残留限量（ppm）： 0.01 ，未加工农产品（RAC）和/或加工商品； 干大豆、蛋；牛、山羊、猪、马、家禽和绵羊的脂肪、肉和肉类副产品；饲料玉米、奶（ppm =百万分之一） 。</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肯尼亚</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33</w:t>
            </w:r>
          </w:p>
        </w:tc>
        <w:tc>
          <w:tcPr>
            <w:tcW w:w="12223" w:type="dxa"/>
            <w:vAlign w:val="center"/>
          </w:tcPr>
          <w:p>
            <w:pPr>
              <w:jc w:val="left"/>
              <w:rPr>
                <w:rFonts w:ascii="宋体" w:cs="宋体"/>
                <w:sz w:val="22"/>
                <w:szCs w:val="22"/>
              </w:rPr>
            </w:pPr>
            <w:r>
              <w:rPr>
                <w:rFonts w:hint="eastAsia"/>
                <w:color w:val="000000"/>
                <w:sz w:val="22"/>
                <w:szCs w:val="22"/>
              </w:rPr>
              <w:t>DKS 1948：2023 船用镀锌圆股钢丝绳——规范。该肯尼亚标准涵盖静索和动索、缆绳、系泊和牵引用镀锌圆股和多股非旋转钢丝绳、货物齿轮绳、吊艇绳和救生艇坠落绳。</w:t>
            </w:r>
          </w:p>
        </w:tc>
      </w:tr>
      <w:tr>
        <w:trPr>
          <w:trHeight w:val="90"/>
        </w:trP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34</w:t>
            </w:r>
          </w:p>
        </w:tc>
        <w:tc>
          <w:tcPr>
            <w:tcW w:w="12223" w:type="dxa"/>
            <w:vAlign w:val="center"/>
          </w:tcPr>
          <w:p>
            <w:pPr>
              <w:jc w:val="left"/>
              <w:rPr>
                <w:rFonts w:ascii="宋体" w:cs="宋体"/>
                <w:sz w:val="22"/>
                <w:szCs w:val="22"/>
              </w:rPr>
            </w:pPr>
            <w:r>
              <w:rPr>
                <w:rFonts w:hint="eastAsia"/>
                <w:color w:val="000000"/>
                <w:sz w:val="22"/>
                <w:szCs w:val="22"/>
              </w:rPr>
              <w:t>DKS 2987：食品级再生PET树脂的验收标准。该肯尼亚标准草案涉及在装瓶或包装操作中使用食品级再生PET树脂材料的验收标准。该标准不适用于将消费后PET瓶转化为适用于装瓶或包装的食品级再生PET树脂的回收处理操作。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35</w:t>
            </w:r>
          </w:p>
        </w:tc>
        <w:tc>
          <w:tcPr>
            <w:tcW w:w="12223" w:type="dxa"/>
            <w:vAlign w:val="center"/>
          </w:tcPr>
          <w:p>
            <w:pPr>
              <w:jc w:val="left"/>
              <w:rPr>
                <w:rFonts w:ascii="宋体" w:cs="宋体"/>
                <w:sz w:val="22"/>
                <w:szCs w:val="22"/>
              </w:rPr>
            </w:pPr>
            <w:r>
              <w:rPr>
                <w:rFonts w:hint="eastAsia"/>
                <w:color w:val="000000"/>
                <w:sz w:val="22"/>
                <w:szCs w:val="22"/>
              </w:rPr>
              <w:t>KS 508-2023吸水脱脂棉</w:t>
            </w:r>
            <w:r>
              <w:rPr>
                <w:color w:val="000000"/>
                <w:sz w:val="22"/>
                <w:szCs w:val="22"/>
              </w:rPr>
              <w:t>。</w:t>
            </w:r>
            <w:r>
              <w:rPr>
                <w:rFonts w:hint="eastAsia"/>
                <w:color w:val="000000"/>
                <w:sz w:val="22"/>
                <w:szCs w:val="22"/>
              </w:rPr>
              <w:t>该肯尼亚标准第四版规定了医用和一般用途吸水脱脂棉的要求。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36</w:t>
            </w:r>
          </w:p>
        </w:tc>
        <w:tc>
          <w:tcPr>
            <w:tcW w:w="12223" w:type="dxa"/>
            <w:vAlign w:val="center"/>
          </w:tcPr>
          <w:p>
            <w:pPr>
              <w:jc w:val="left"/>
              <w:rPr>
                <w:rFonts w:ascii="宋体" w:cs="宋体"/>
                <w:sz w:val="22"/>
                <w:szCs w:val="22"/>
              </w:rPr>
            </w:pPr>
            <w:r>
              <w:rPr>
                <w:rFonts w:hint="eastAsia"/>
                <w:color w:val="000000"/>
                <w:sz w:val="22"/>
                <w:szCs w:val="22"/>
              </w:rPr>
              <w:t>DKS 2988：将PET通过机械回收方式制成食品级再生PET。该肯尼亚标准草案涉及将消费后PET瓶和容器转化为适合装瓶或包装的食品级再生PET树脂的机械回收处理操作。</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37</w:t>
            </w:r>
          </w:p>
        </w:tc>
        <w:tc>
          <w:tcPr>
            <w:tcW w:w="12223" w:type="dxa"/>
            <w:vAlign w:val="center"/>
          </w:tcPr>
          <w:p>
            <w:pPr>
              <w:jc w:val="left"/>
              <w:rPr>
                <w:rFonts w:ascii="宋体" w:cs="宋体"/>
                <w:sz w:val="22"/>
                <w:szCs w:val="22"/>
              </w:rPr>
            </w:pPr>
            <w:r>
              <w:rPr>
                <w:rFonts w:hint="eastAsia"/>
                <w:color w:val="000000"/>
                <w:sz w:val="22"/>
                <w:szCs w:val="22"/>
              </w:rPr>
              <w:t>KS 638-2023 吸水棉纱布及纱布绷带。该肯尼亚标准规定了用于外科敷料和一般医疗用途的漂白吸水纱布和纱布绷带的要求和测试方法。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38</w:t>
            </w:r>
          </w:p>
        </w:tc>
        <w:tc>
          <w:tcPr>
            <w:tcW w:w="12223" w:type="dxa"/>
            <w:vAlign w:val="center"/>
          </w:tcPr>
          <w:p>
            <w:pPr>
              <w:jc w:val="left"/>
              <w:rPr>
                <w:rFonts w:ascii="宋体" w:cs="宋体"/>
                <w:sz w:val="22"/>
                <w:szCs w:val="22"/>
              </w:rPr>
            </w:pPr>
            <w:r>
              <w:rPr>
                <w:rFonts w:hint="eastAsia"/>
                <w:color w:val="000000"/>
                <w:sz w:val="22"/>
                <w:szCs w:val="22"/>
              </w:rPr>
              <w:t>DARS 872：2023 干大豆——规范。该非洲标准草案规定了种植大豆（Glycine max (L.)）获得的、供人食用的各品种（栽培品种）的干大豆全豆的要求、取样和测试方法。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39</w:t>
            </w:r>
          </w:p>
        </w:tc>
        <w:tc>
          <w:tcPr>
            <w:tcW w:w="12223" w:type="dxa"/>
            <w:vAlign w:val="center"/>
          </w:tcPr>
          <w:p>
            <w:pPr>
              <w:jc w:val="left"/>
              <w:rPr>
                <w:rFonts w:ascii="宋体" w:cs="宋体"/>
                <w:sz w:val="22"/>
                <w:szCs w:val="22"/>
              </w:rPr>
            </w:pPr>
            <w:r>
              <w:rPr>
                <w:rFonts w:hint="eastAsia"/>
                <w:color w:val="000000"/>
                <w:sz w:val="22"/>
                <w:szCs w:val="22"/>
              </w:rPr>
              <w:t>DARS 873：2023 干蚕豆——规范。该非洲标准最终草案规定了种植蚕豆（Vicia faba L.）获得的、供人食用的各品种（栽培品种）干蚕豆的要求、取样和测试方法。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40</w:t>
            </w:r>
          </w:p>
        </w:tc>
        <w:tc>
          <w:tcPr>
            <w:tcW w:w="12223" w:type="dxa"/>
            <w:vAlign w:val="center"/>
          </w:tcPr>
          <w:p>
            <w:pPr>
              <w:jc w:val="left"/>
              <w:rPr>
                <w:rFonts w:ascii="宋体" w:cs="宋体"/>
                <w:sz w:val="22"/>
                <w:szCs w:val="22"/>
              </w:rPr>
            </w:pPr>
            <w:r>
              <w:rPr>
                <w:rFonts w:hint="eastAsia"/>
                <w:color w:val="000000"/>
                <w:sz w:val="22"/>
                <w:szCs w:val="22"/>
              </w:rPr>
              <w:t>DARS 878：2023 大麦粒——规范。该非洲标准草案规定了种植大麦（Hordeum vulgare Lin）和球茎大麦（Hordeum bulbosum）获得的、供人食用的大麦粒的要求、取样和测试方法。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41</w:t>
            </w:r>
          </w:p>
        </w:tc>
        <w:tc>
          <w:tcPr>
            <w:tcW w:w="12223" w:type="dxa"/>
            <w:vAlign w:val="center"/>
          </w:tcPr>
          <w:p>
            <w:pPr>
              <w:jc w:val="left"/>
              <w:rPr>
                <w:rFonts w:ascii="宋体" w:cs="宋体"/>
                <w:sz w:val="22"/>
                <w:szCs w:val="22"/>
              </w:rPr>
            </w:pPr>
            <w:r>
              <w:rPr>
                <w:rFonts w:hint="eastAsia"/>
                <w:color w:val="000000"/>
                <w:sz w:val="22"/>
                <w:szCs w:val="22"/>
              </w:rPr>
              <w:t>DARS 865：2023 干绿豆——规范。该非洲标准草案规定了供人食用的栽培品种Vigna radiata (L.)干绿豆的要求、取样和测试方法。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42</w:t>
            </w:r>
          </w:p>
        </w:tc>
        <w:tc>
          <w:tcPr>
            <w:tcW w:w="12223" w:type="dxa"/>
            <w:vAlign w:val="center"/>
          </w:tcPr>
          <w:p>
            <w:pPr>
              <w:jc w:val="left"/>
              <w:rPr>
                <w:rFonts w:ascii="宋体" w:cs="宋体"/>
                <w:sz w:val="22"/>
                <w:szCs w:val="22"/>
              </w:rPr>
            </w:pPr>
            <w:r>
              <w:rPr>
                <w:rFonts w:hint="eastAsia"/>
                <w:color w:val="000000"/>
                <w:sz w:val="22"/>
                <w:szCs w:val="22"/>
              </w:rPr>
              <w:t>DARS 470：2023 小麦粉——规范。该非洲标准草案规定了用普通小麦（Triticum aestivum L.）或大粒小麦（Triticum compactum Host）或其混合物制备的、供人食用的小麦粉的要求、取样和测试方法。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43</w:t>
            </w:r>
          </w:p>
        </w:tc>
        <w:tc>
          <w:tcPr>
            <w:tcW w:w="12223" w:type="dxa"/>
            <w:vAlign w:val="center"/>
          </w:tcPr>
          <w:p>
            <w:pPr>
              <w:jc w:val="left"/>
              <w:rPr>
                <w:rFonts w:ascii="宋体" w:cs="宋体"/>
                <w:sz w:val="22"/>
                <w:szCs w:val="22"/>
              </w:rPr>
            </w:pPr>
            <w:r>
              <w:rPr>
                <w:rFonts w:hint="eastAsia"/>
                <w:color w:val="000000"/>
                <w:sz w:val="22"/>
                <w:szCs w:val="22"/>
              </w:rPr>
              <w:t>DARS 874：2023 干利马豆——规范。该非洲标准草案规定了种植利马豆（Phaseolus lunatus L.）获得的、供人食用的各品种（栽培品种）干利马豆的要求、取样和测试方法。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44</w:t>
            </w:r>
          </w:p>
        </w:tc>
        <w:tc>
          <w:tcPr>
            <w:tcW w:w="12223" w:type="dxa"/>
            <w:vAlign w:val="center"/>
          </w:tcPr>
          <w:p>
            <w:pPr>
              <w:jc w:val="left"/>
              <w:rPr>
                <w:rFonts w:ascii="宋体" w:cs="宋体"/>
                <w:sz w:val="22"/>
                <w:szCs w:val="22"/>
              </w:rPr>
            </w:pPr>
            <w:r>
              <w:rPr>
                <w:rFonts w:hint="eastAsia"/>
                <w:color w:val="000000"/>
                <w:sz w:val="22"/>
                <w:szCs w:val="22"/>
              </w:rPr>
              <w:t>DARS 866：2023 干鹰嘴豆——规范。该非洲标准草案规定了种植鹰嘴豆（Cicer arietinum(L.)）获得的、供人食用的各品种（栽培品种）干鹰嘴豆的要求、取样和测试方法。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45</w:t>
            </w:r>
          </w:p>
        </w:tc>
        <w:tc>
          <w:tcPr>
            <w:tcW w:w="12223" w:type="dxa"/>
            <w:vAlign w:val="center"/>
          </w:tcPr>
          <w:p>
            <w:pPr>
              <w:jc w:val="left"/>
              <w:rPr>
                <w:rFonts w:ascii="宋体" w:cs="宋体"/>
                <w:sz w:val="22"/>
                <w:szCs w:val="22"/>
              </w:rPr>
            </w:pPr>
            <w:r>
              <w:rPr>
                <w:rFonts w:hint="eastAsia"/>
                <w:color w:val="000000"/>
                <w:sz w:val="22"/>
                <w:szCs w:val="22"/>
              </w:rPr>
              <w:t>DARS 935：2023 食用全脂大豆粉——规范。该非洲标准草案规定了从大豆（Glycine max(L.) Merr）中提取的、供人食用的食用全脂大豆粉的要求、取样和测试方法。</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卢旺达</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46</w:t>
            </w:r>
          </w:p>
        </w:tc>
        <w:tc>
          <w:tcPr>
            <w:tcW w:w="12223" w:type="dxa"/>
            <w:vAlign w:val="center"/>
          </w:tcPr>
          <w:p>
            <w:pPr>
              <w:jc w:val="left"/>
              <w:rPr>
                <w:rFonts w:ascii="宋体" w:cs="宋体"/>
                <w:sz w:val="22"/>
                <w:szCs w:val="22"/>
              </w:rPr>
            </w:pPr>
            <w:r>
              <w:rPr>
                <w:rFonts w:hint="eastAsia"/>
                <w:color w:val="000000"/>
                <w:sz w:val="22"/>
                <w:szCs w:val="22"/>
              </w:rPr>
              <w:t>DRS 290：2023，固体生物质炉灶——规范。该卢旺达标准草案规定了固体生物质炉灶的取样要求和测试方法。该标准适用于主要用于家庭和小规模机构烹饪或烧水的炉灶，但不包括主要用于空间加热的炉灶。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47</w:t>
            </w:r>
          </w:p>
        </w:tc>
        <w:tc>
          <w:tcPr>
            <w:tcW w:w="12223" w:type="dxa"/>
            <w:vAlign w:val="center"/>
          </w:tcPr>
          <w:p>
            <w:pPr>
              <w:jc w:val="left"/>
              <w:rPr>
                <w:rFonts w:ascii="宋体" w:cs="宋体"/>
                <w:sz w:val="22"/>
                <w:szCs w:val="22"/>
              </w:rPr>
            </w:pPr>
            <w:r>
              <w:rPr>
                <w:rFonts w:hint="eastAsia"/>
                <w:color w:val="000000"/>
                <w:sz w:val="22"/>
                <w:szCs w:val="22"/>
              </w:rPr>
              <w:t>DRS 565-3：2023，农药包装——要求——第3部分：家用农药。该卢旺达标准草案规定了家用农药的包装要求。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48</w:t>
            </w:r>
          </w:p>
        </w:tc>
        <w:tc>
          <w:tcPr>
            <w:tcW w:w="12223" w:type="dxa"/>
            <w:vAlign w:val="center"/>
          </w:tcPr>
          <w:p>
            <w:pPr>
              <w:jc w:val="left"/>
              <w:rPr>
                <w:rFonts w:ascii="宋体" w:cs="宋体"/>
                <w:sz w:val="22"/>
                <w:szCs w:val="22"/>
              </w:rPr>
            </w:pPr>
            <w:r>
              <w:rPr>
                <w:rFonts w:hint="eastAsia"/>
                <w:color w:val="000000"/>
                <w:sz w:val="22"/>
                <w:szCs w:val="22"/>
              </w:rPr>
              <w:t>DRS 291：2023，机动车辆最高车速限速器——要求。该卢旺达标准草案规定了限速器的性能和安装要求。还规定了用于限制机动车最高车速的限速器系统和部件的性能要求。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49</w:t>
            </w:r>
          </w:p>
        </w:tc>
        <w:tc>
          <w:tcPr>
            <w:tcW w:w="12223" w:type="dxa"/>
            <w:vAlign w:val="center"/>
          </w:tcPr>
          <w:p>
            <w:pPr>
              <w:jc w:val="left"/>
              <w:rPr>
                <w:rFonts w:ascii="宋体" w:cs="宋体"/>
                <w:sz w:val="22"/>
                <w:szCs w:val="22"/>
              </w:rPr>
            </w:pPr>
            <w:r>
              <w:rPr>
                <w:rFonts w:hint="eastAsia"/>
                <w:color w:val="000000"/>
                <w:sz w:val="22"/>
                <w:szCs w:val="22"/>
              </w:rPr>
              <w:t>DRS 565-4： 2023，农药包装——要求——第4部分：熏蒸剂。该卢旺达标准草案规定了熏蒸剂的包装要求。不包括家用熏蒸剂的包装要求（DRS 565-3）</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50</w:t>
            </w:r>
          </w:p>
        </w:tc>
        <w:tc>
          <w:tcPr>
            <w:tcW w:w="12223" w:type="dxa"/>
            <w:vAlign w:val="center"/>
          </w:tcPr>
          <w:p>
            <w:pPr>
              <w:jc w:val="left"/>
              <w:rPr>
                <w:rFonts w:ascii="宋体" w:cs="宋体"/>
                <w:sz w:val="22"/>
                <w:szCs w:val="22"/>
              </w:rPr>
            </w:pPr>
            <w:r>
              <w:rPr>
                <w:rFonts w:hint="eastAsia"/>
                <w:color w:val="000000"/>
                <w:sz w:val="22"/>
                <w:szCs w:val="22"/>
              </w:rPr>
              <w:t>DRS 292：2023，道路表面处理骨料——规范。该卢旺达标准草案涵盖了用于沥青路面施工、修复或养护中表面处理的碎骨料的要求、取样和测试方法。对骨料的尺寸、强度、分级以及取样和测试方法提出了要求。适用于适合以碎石形式用于道路表面处理的普通岩石和矿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51</w:t>
            </w:r>
          </w:p>
        </w:tc>
        <w:tc>
          <w:tcPr>
            <w:tcW w:w="12223" w:type="dxa"/>
            <w:vAlign w:val="center"/>
          </w:tcPr>
          <w:p>
            <w:pPr>
              <w:jc w:val="left"/>
              <w:rPr>
                <w:rFonts w:ascii="宋体" w:cs="宋体"/>
                <w:sz w:val="22"/>
                <w:szCs w:val="22"/>
              </w:rPr>
            </w:pPr>
            <w:r>
              <w:rPr>
                <w:rFonts w:hint="eastAsia"/>
                <w:color w:val="000000"/>
                <w:sz w:val="22"/>
                <w:szCs w:val="22"/>
              </w:rPr>
              <w:t>DRS 562：2023，餐具——三聚氰胺餐具——规范。该卢旺达标准草案规定了由三聚氰胺塑料制成的餐具（如杯、碟、盘、碗、隔层托盘和类似物品）的要求、抽样和测试方法。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52</w:t>
            </w:r>
          </w:p>
        </w:tc>
        <w:tc>
          <w:tcPr>
            <w:tcW w:w="12223" w:type="dxa"/>
            <w:vAlign w:val="center"/>
          </w:tcPr>
          <w:p>
            <w:pPr>
              <w:jc w:val="left"/>
              <w:rPr>
                <w:rFonts w:ascii="宋体" w:cs="宋体"/>
                <w:sz w:val="22"/>
                <w:szCs w:val="22"/>
              </w:rPr>
            </w:pPr>
            <w:r>
              <w:rPr>
                <w:rFonts w:hint="eastAsia"/>
                <w:color w:val="000000"/>
                <w:sz w:val="22"/>
                <w:szCs w:val="22"/>
              </w:rPr>
              <w:t>DRS 312：2023，道路交通安全——交通控制装置——要求。该卢旺达标准草案规定了在新建和现有道路上设置的道路交通安全标志、信号和标线的要求。该标准还规定了道路工程中使用的临时道路交通安全标志的要求。该标准适用于所有等级的道路。</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53</w:t>
            </w:r>
          </w:p>
        </w:tc>
        <w:tc>
          <w:tcPr>
            <w:tcW w:w="12223" w:type="dxa"/>
            <w:vAlign w:val="center"/>
          </w:tcPr>
          <w:p>
            <w:pPr>
              <w:jc w:val="left"/>
              <w:rPr>
                <w:rFonts w:ascii="宋体" w:cs="宋体"/>
                <w:sz w:val="22"/>
                <w:szCs w:val="22"/>
              </w:rPr>
            </w:pPr>
            <w:r>
              <w:rPr>
                <w:rFonts w:hint="eastAsia"/>
                <w:color w:val="000000"/>
                <w:sz w:val="22"/>
                <w:szCs w:val="22"/>
              </w:rPr>
              <w:t>DRS 395-2：2023，沥青和沥青粘结剂——第2部分：铺路级沥青规范；该卢旺达标准草案提供了框架，规定了适用于道路、机场和其他铺设区域的建设和维护的沥青的一系列特性及相关取样和测试方法，以及合格评定要求。该标准不直接涉及“内聚力、附着力和凝结能力”。注：该标准规定的铺路级沥青也可用于工业用途。</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54</w:t>
            </w:r>
          </w:p>
        </w:tc>
        <w:tc>
          <w:tcPr>
            <w:tcW w:w="12223" w:type="dxa"/>
            <w:vAlign w:val="center"/>
          </w:tcPr>
          <w:p>
            <w:pPr>
              <w:jc w:val="left"/>
              <w:rPr>
                <w:rFonts w:ascii="宋体" w:cs="宋体"/>
                <w:sz w:val="22"/>
                <w:szCs w:val="22"/>
              </w:rPr>
            </w:pPr>
            <w:r>
              <w:rPr>
                <w:rFonts w:hint="eastAsia"/>
                <w:color w:val="000000"/>
                <w:sz w:val="22"/>
                <w:szCs w:val="22"/>
              </w:rPr>
              <w:t>DEAS 1166：2023，袋装肥料或肥料补充剂的搬运和储存操作规范，第一版。该东非标准草案规定了搬运、储存和处置装在带或不带塑料衬垫袋中的肥料或肥料补充剂的推荐操作规范。</w:t>
            </w:r>
          </w:p>
        </w:tc>
      </w:tr>
      <w:t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秘鲁</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55</w:t>
            </w:r>
          </w:p>
        </w:tc>
        <w:tc>
          <w:tcPr>
            <w:tcW w:w="12223" w:type="dxa"/>
            <w:vAlign w:val="center"/>
          </w:tcPr>
          <w:p>
            <w:pPr>
              <w:jc w:val="left"/>
              <w:rPr>
                <w:rFonts w:ascii="宋体" w:cs="宋体"/>
                <w:sz w:val="22"/>
                <w:szCs w:val="22"/>
              </w:rPr>
            </w:pPr>
            <w:r>
              <w:rPr>
                <w:rFonts w:hint="eastAsia"/>
                <w:color w:val="000000"/>
                <w:sz w:val="22"/>
                <w:szCs w:val="22"/>
              </w:rPr>
              <w:t>第31182号法律：关于保护他人健康和身体不受涂料和其他涂层材料中铅含量影响的法规草案。该通报的法规草案旨在制定相关规定，以确保第31182号法律的适当适用，保护他人健康和身体不受涂料和其他涂层材料中铅含量的影响，从而最大限度地降低对他人健康的危害。该草案包含了对涂料和其他涂层材料的生产、进口、分销和/或销售的卫生要求。</w:t>
            </w:r>
          </w:p>
        </w:tc>
      </w:tr>
      <w:t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摩洛哥</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56</w:t>
            </w:r>
          </w:p>
        </w:tc>
        <w:tc>
          <w:tcPr>
            <w:tcW w:w="12223" w:type="dxa"/>
            <w:vAlign w:val="center"/>
          </w:tcPr>
          <w:p>
            <w:pPr>
              <w:jc w:val="left"/>
              <w:rPr>
                <w:rFonts w:ascii="宋体" w:cs="宋体"/>
                <w:sz w:val="22"/>
                <w:szCs w:val="22"/>
              </w:rPr>
            </w:pPr>
            <w:r>
              <w:rPr>
                <w:rFonts w:hint="eastAsia"/>
                <w:color w:val="000000"/>
                <w:sz w:val="22"/>
                <w:szCs w:val="22"/>
              </w:rPr>
              <w:t>关于从荷兰进口任何种类的鸟类、家禽、禽肉和禽肉制品、动物饲料、蛋和蛋制品的禁令。在荷兰报告发生多起家禽感染高致病性禽流感病例后，禁止从该国进口任何种类的鸟类、家禽、禽肉和禽肉制品、动物饲料、鸡蛋和蛋制品，直至另行通知为止。 该禁令不适用于根据世界动物卫生组织（OMSA）建议经过热处理消灭高致病性禽流感病毒的肉类和肉制品。在进口时，这些产品必须附有卫生证书和荷兰有关卫生当局签发的证书，确认这些产品已经过热处理。</w:t>
            </w:r>
          </w:p>
        </w:tc>
      </w:tr>
      <w:t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欧盟</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57</w:t>
            </w:r>
          </w:p>
        </w:tc>
        <w:tc>
          <w:tcPr>
            <w:tcW w:w="12223" w:type="dxa"/>
            <w:vAlign w:val="center"/>
          </w:tcPr>
          <w:p>
            <w:pPr>
              <w:rPr>
                <w:rFonts w:ascii="宋体" w:cs="宋体"/>
                <w:sz w:val="22"/>
                <w:szCs w:val="22"/>
              </w:rPr>
            </w:pPr>
            <w:r>
              <w:rPr>
                <w:rFonts w:hint="eastAsia"/>
                <w:color w:val="000000"/>
                <w:sz w:val="22"/>
                <w:szCs w:val="22"/>
              </w:rPr>
              <w:t>2023年6月15日欧盟委员会（EU）第2023/1173号执行法规，从市场撤回一些饲料添加剂，修订（EC）第1810/2005号法规及废除（EC）第1453/2004号法规，（EC）第2148/2004号法规和（EC）第943/2005号法规</w:t>
            </w:r>
            <w:r>
              <w:rPr>
                <w:color w:val="000000"/>
                <w:sz w:val="22"/>
                <w:szCs w:val="22"/>
              </w:rPr>
              <w:t>。</w:t>
            </w:r>
            <w:r>
              <w:rPr>
                <w:rFonts w:hint="eastAsia"/>
                <w:color w:val="000000"/>
                <w:sz w:val="22"/>
                <w:szCs w:val="22"/>
              </w:rPr>
              <w:t>该法规涉及因行政原因从欧盟市场撤回一系列饲料添加剂，其原因是这些产品未在（EC）第1831/2003号法规第10(2)条规定的最后期限前提交重新授权申请，或申请人撤回已提交的重新授权申请。为利益相关各方规定了过渡期，以便其做好准备，满足相关产品退出市场的要求。 </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日本</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58</w:t>
            </w:r>
          </w:p>
        </w:tc>
        <w:tc>
          <w:tcPr>
            <w:tcW w:w="12223" w:type="dxa"/>
            <w:vAlign w:val="center"/>
          </w:tcPr>
          <w:p>
            <w:pPr>
              <w:jc w:val="left"/>
              <w:rPr>
                <w:rFonts w:ascii="宋体" w:cs="宋体"/>
                <w:sz w:val="22"/>
                <w:szCs w:val="22"/>
              </w:rPr>
            </w:pPr>
            <w:r>
              <w:rPr>
                <w:rFonts w:hint="eastAsia"/>
                <w:color w:val="000000"/>
                <w:sz w:val="22"/>
                <w:szCs w:val="22"/>
              </w:rPr>
              <w:t>部分修订无线电法案执行条例。修订上述制度的法规。</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59</w:t>
            </w:r>
          </w:p>
        </w:tc>
        <w:tc>
          <w:tcPr>
            <w:tcW w:w="12223" w:type="dxa"/>
            <w:vAlign w:val="center"/>
          </w:tcPr>
          <w:p>
            <w:pPr>
              <w:jc w:val="left"/>
              <w:rPr>
                <w:rFonts w:ascii="宋体" w:cs="宋体"/>
                <w:sz w:val="22"/>
                <w:szCs w:val="22"/>
              </w:rPr>
            </w:pPr>
            <w:r>
              <w:rPr>
                <w:rFonts w:hint="eastAsia"/>
                <w:color w:val="000000"/>
                <w:sz w:val="22"/>
                <w:szCs w:val="22"/>
              </w:rPr>
              <w:t>修订《食品卫生法》项下的食品、食品添加剂等的规范和标准（修订农用化学品残留标准。拟议下列农用化学品的最大残留限量（MRL）：兽药：苯氰菊酯。</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60</w:t>
            </w:r>
          </w:p>
        </w:tc>
        <w:tc>
          <w:tcPr>
            <w:tcW w:w="12223" w:type="dxa"/>
            <w:vAlign w:val="center"/>
          </w:tcPr>
          <w:p>
            <w:pPr>
              <w:jc w:val="left"/>
              <w:rPr>
                <w:rFonts w:ascii="宋体" w:cs="宋体"/>
                <w:sz w:val="22"/>
                <w:szCs w:val="22"/>
              </w:rPr>
            </w:pPr>
            <w:r>
              <w:rPr>
                <w:rFonts w:hint="eastAsia"/>
                <w:color w:val="000000"/>
                <w:sz w:val="22"/>
                <w:szCs w:val="22"/>
              </w:rPr>
              <w:t>修订《食品卫生法》项下的食品、食品添加剂等的规范和标准（修订农用化学品残留标准）。拟议下列农用化学品的最大残留限量（MRL）：农药：克线磷。</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61</w:t>
            </w:r>
          </w:p>
        </w:tc>
        <w:tc>
          <w:tcPr>
            <w:tcW w:w="12223" w:type="dxa"/>
            <w:vAlign w:val="center"/>
          </w:tcPr>
          <w:p>
            <w:pPr>
              <w:jc w:val="left"/>
              <w:rPr>
                <w:rFonts w:ascii="宋体" w:cs="宋体"/>
                <w:sz w:val="22"/>
                <w:szCs w:val="22"/>
              </w:rPr>
            </w:pPr>
            <w:r>
              <w:rPr>
                <w:rFonts w:hint="eastAsia"/>
                <w:color w:val="000000"/>
                <w:sz w:val="22"/>
                <w:szCs w:val="22"/>
              </w:rPr>
              <w:t>根据《食品卫生法》确定豁免兽药最大残留限量的要求。确定豁免最大残留限量要求的兽药：次硝酸铋；应规定为“食品中不会对健康造成任何不利影响的物质”。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62</w:t>
            </w:r>
          </w:p>
        </w:tc>
        <w:tc>
          <w:tcPr>
            <w:tcW w:w="12223" w:type="dxa"/>
            <w:vAlign w:val="center"/>
          </w:tcPr>
          <w:p>
            <w:pPr>
              <w:jc w:val="left"/>
              <w:rPr>
                <w:rFonts w:ascii="宋体" w:cs="宋体"/>
                <w:sz w:val="22"/>
                <w:szCs w:val="22"/>
              </w:rPr>
            </w:pPr>
            <w:r>
              <w:rPr>
                <w:rFonts w:hint="eastAsia"/>
                <w:color w:val="000000"/>
                <w:sz w:val="22"/>
                <w:szCs w:val="22"/>
              </w:rPr>
              <w:t>修订《食品卫生法》项下的食品、食品添加剂等的规范和标准（修订农用化学品残留标准）。拟议下列农用化学品的最大残留限量（MRL）：兽药：三溴沙仑。</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63</w:t>
            </w:r>
          </w:p>
        </w:tc>
        <w:tc>
          <w:tcPr>
            <w:tcW w:w="12223" w:type="dxa"/>
            <w:vAlign w:val="center"/>
          </w:tcPr>
          <w:p>
            <w:pPr>
              <w:jc w:val="left"/>
              <w:rPr>
                <w:rFonts w:ascii="宋体" w:cs="宋体"/>
                <w:sz w:val="22"/>
                <w:szCs w:val="22"/>
              </w:rPr>
            </w:pPr>
            <w:r>
              <w:rPr>
                <w:rFonts w:hint="eastAsia"/>
                <w:color w:val="000000"/>
                <w:sz w:val="22"/>
                <w:szCs w:val="22"/>
              </w:rPr>
              <w:t>修订《食品卫生法》项下的食品、食品添加剂等的规范和标准（修订农用化学品残留标准）。拟议下列农用化学品的最大残留限量（MRL）：农药：丙硫菌唑。</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64</w:t>
            </w:r>
          </w:p>
        </w:tc>
        <w:tc>
          <w:tcPr>
            <w:tcW w:w="12223" w:type="dxa"/>
            <w:vAlign w:val="center"/>
          </w:tcPr>
          <w:p>
            <w:pPr>
              <w:jc w:val="left"/>
              <w:rPr>
                <w:rFonts w:ascii="宋体" w:cs="宋体"/>
                <w:sz w:val="22"/>
                <w:szCs w:val="22"/>
              </w:rPr>
            </w:pPr>
            <w:r>
              <w:rPr>
                <w:rFonts w:hint="eastAsia"/>
                <w:color w:val="000000"/>
                <w:sz w:val="22"/>
                <w:szCs w:val="22"/>
              </w:rPr>
              <w:t>修订《食品卫生法》项下的食品、食品添加剂等的规范和标准（修订农用化学品残留标准）。拟议下列农用化学品的最大残留限量（MRL）：农药：异菌脲。 </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瑞士</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65</w:t>
            </w:r>
          </w:p>
        </w:tc>
        <w:tc>
          <w:tcPr>
            <w:tcW w:w="12223" w:type="dxa"/>
            <w:vAlign w:val="center"/>
          </w:tcPr>
          <w:p>
            <w:pPr>
              <w:jc w:val="left"/>
              <w:rPr>
                <w:rFonts w:ascii="宋体" w:cs="宋体"/>
                <w:sz w:val="22"/>
                <w:szCs w:val="22"/>
              </w:rPr>
            </w:pPr>
            <w:r>
              <w:rPr>
                <w:rFonts w:hint="eastAsia"/>
                <w:color w:val="000000"/>
                <w:sz w:val="22"/>
                <w:szCs w:val="22"/>
              </w:rPr>
              <w:t>修订瑞士联邦通信管理局电信设施法令（OOIT）无线电接口条例（RIR）草案。瑞士联邦通信局电信设施法令（OOIT）规定了电信设施的基本技术要求。无线电接口条例（RIR）规定了无线电通信设备使用频率的要求，频率范围最高可达3000 GHz。无线电接口条例包括技术参数、频段以及无线电频谱使用规则。瑞士联邦通信局电信设施法令（OOIT）附件1列出了无线电接口条例的清单及其版本。 由于频率管理的最新进展，必须对以下无线电接口条例进行修订。 784.101.21/RIR0201-80（40.5-42.5GHz频率范围的MWS）：该无线电接口条例将于2024年1月1日删除，并且不会再在2023年国家频率分配计划（NaFZ）中引用。 784.101.21/RIR0203-11（1980 - 3500MHz频率范围的无绳照相机）：将对该无线电接口条例进行修订，删除频率范围3410 - 3500 MHz。784.101.21/RIR0302-11（10.150 - 10.650 GHz频率范围的点对点通信）：将对该无线电接口条例进行修订，将占用带宽扩大28MHz。784.101.21/RIR0501-33（3400 - 3500 MHz频率范围的专用国际移动通信（IMT）网络）：对于3400 - 3500 MHz 频段专用国际移动通信网络而言，该条例属于新增的无线电接口条例。784.101.21/RIR0603-10（156 - 174 MHz频率范围的内河航道通信）：将对该无线电接口条例进行修订，根据用户类别调整发射功率。784.101.21/RIR1009-01（31.4 - 39.6 MHz频率范围的无线电麦克风）：将对该无线电接口条例进行修订，以与ERC/REC 70-03，附件10保持一致。784.101.21/RIR1009-09（1785 - 1804.8 MHz频率范围的无线电传声器）：将对该无线电接口条例进行修订，以与ERC/REC 70-03，附件10保持一致。784.101.21/RIR1009-12（173.965 - 223 MHz频率范围的辅助听力设备（ALD））：将对该无线电接口条例进行修订，以与ERC/REC 70-03，附件10保持一致。不再限制占用带宽。784.101.21/RIR1009-14（169.4000-169.4750 MHz频率范围的辅助听力设备（ALD））：将对该无线电接口条例进行修订，以与ERC/REC 70-03，附件10保持一致。784.101.21/RIR1009-15（169.4875-169.5875 MHz频率范围的辅助听力设备（ALD））：将对该无线电接口条例进行修订，以与ERC/REC 70-03，附件10保持一致。 784.101.21/RIR1009-18（823 - 826 MHz频率范围的无线电麦克风）：将对该无线电接口条例进行修订，调整频段以与ERC/REC 70-03，附件10保持一致。784.101.21/RIR1013-18（频率范围内的无线音频/多媒体通信）：该无线电接口条例将于2024年1月1日删除，并且不会再在2023年国家频率分配计划（NaFZ）中引用。</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沙特阿拉伯</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66</w:t>
            </w:r>
          </w:p>
        </w:tc>
        <w:tc>
          <w:tcPr>
            <w:tcW w:w="12223" w:type="dxa"/>
            <w:vAlign w:val="center"/>
          </w:tcPr>
          <w:p>
            <w:pPr>
              <w:jc w:val="left"/>
              <w:rPr>
                <w:rFonts w:ascii="宋体" w:cs="宋体"/>
                <w:sz w:val="22"/>
                <w:szCs w:val="22"/>
              </w:rPr>
            </w:pPr>
            <w:r>
              <w:rPr>
                <w:rFonts w:hint="eastAsia"/>
                <w:color w:val="000000"/>
                <w:sz w:val="22"/>
                <w:szCs w:val="22"/>
              </w:rPr>
              <w:t>SASO ECE 117</w:t>
            </w:r>
            <w:r>
              <w:rPr>
                <w:color w:val="000000"/>
                <w:sz w:val="22"/>
                <w:szCs w:val="22"/>
              </w:rPr>
              <w:t>：</w:t>
            </w:r>
            <w:r>
              <w:rPr>
                <w:rFonts w:hint="eastAsia"/>
                <w:color w:val="000000"/>
                <w:sz w:val="22"/>
                <w:szCs w:val="22"/>
              </w:rPr>
              <w:t>关于轮胎滚动噪声释放和/或湿滑路面附着信力和/或滚动阻力审批的统</w:t>
            </w:r>
            <w:r>
              <w:rPr>
                <w:color w:val="000000"/>
                <w:sz w:val="22"/>
                <w:szCs w:val="22"/>
              </w:rPr>
              <w:t>一</w:t>
            </w:r>
            <w:r>
              <w:rPr>
                <w:rFonts w:hint="eastAsia"/>
                <w:color w:val="000000"/>
                <w:sz w:val="22"/>
                <w:szCs w:val="22"/>
              </w:rPr>
              <w:t>规定。该法规适用于C1、C2和C3类新充气轮胎的噪声释放、滚动阻力和湿滑路面附着力</w:t>
            </w:r>
            <w:r>
              <w:rPr>
                <w:color w:val="000000"/>
                <w:sz w:val="22"/>
                <w:szCs w:val="22"/>
              </w:rPr>
              <w:t>（</w:t>
            </w:r>
            <w:r>
              <w:rPr>
                <w:rFonts w:hint="eastAsia"/>
                <w:color w:val="000000"/>
                <w:sz w:val="22"/>
                <w:szCs w:val="22"/>
              </w:rPr>
              <w:t>湿附着力</w:t>
            </w:r>
            <w:r>
              <w:rPr>
                <w:color w:val="000000"/>
                <w:sz w:val="22"/>
                <w:szCs w:val="22"/>
              </w:rPr>
              <w:t>）。</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67</w:t>
            </w:r>
          </w:p>
        </w:tc>
        <w:tc>
          <w:tcPr>
            <w:tcW w:w="12223" w:type="dxa"/>
            <w:vAlign w:val="center"/>
          </w:tcPr>
          <w:p>
            <w:pPr>
              <w:jc w:val="left"/>
              <w:rPr>
                <w:rFonts w:ascii="宋体" w:cs="宋体"/>
                <w:sz w:val="22"/>
                <w:szCs w:val="22"/>
              </w:rPr>
            </w:pPr>
            <w:r>
              <w:rPr>
                <w:rFonts w:hint="eastAsia"/>
                <w:color w:val="000000"/>
                <w:sz w:val="22"/>
                <w:szCs w:val="22"/>
              </w:rPr>
              <w:t>补遗：SASO ECE 117</w:t>
            </w:r>
            <w:r>
              <w:rPr>
                <w:color w:val="000000"/>
                <w:sz w:val="22"/>
                <w:szCs w:val="22"/>
              </w:rPr>
              <w:t>：</w:t>
            </w:r>
            <w:r>
              <w:rPr>
                <w:rFonts w:hint="eastAsia"/>
                <w:color w:val="000000"/>
                <w:sz w:val="22"/>
                <w:szCs w:val="22"/>
              </w:rPr>
              <w:t xml:space="preserve">关于轮胎滚动噪声释放和/或湿滑路面附着信力和/或滚动阻力审批的统-规定。加入先前第G/TBT/N/SAU/1295号通报的标准文件。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68</w:t>
            </w:r>
          </w:p>
        </w:tc>
        <w:tc>
          <w:tcPr>
            <w:tcW w:w="12223" w:type="dxa"/>
            <w:vAlign w:val="center"/>
          </w:tcPr>
          <w:p>
            <w:pPr>
              <w:jc w:val="left"/>
              <w:rPr>
                <w:rFonts w:ascii="宋体" w:cs="宋体"/>
                <w:sz w:val="22"/>
                <w:szCs w:val="22"/>
              </w:rPr>
            </w:pPr>
            <w:r>
              <w:rPr>
                <w:rFonts w:hint="eastAsia"/>
                <w:color w:val="000000"/>
                <w:sz w:val="22"/>
                <w:szCs w:val="22"/>
              </w:rPr>
              <w:t>沙特标准、计量和质量组织（SASO）董事会决定草案，将智能手机和电子设备充电器类型统一为USB Type-C作为决定范围内所有无线电和信息技术设备产品的最低标准，统一智能手机和电子设备充电器类型、充电插座和充电通信协议。沙特标准、计量和质量组织（SASO）董事会决定草案为广泛的无线电和信息技术设备产品引入通用充电解决方案作为最低要求，分以下两个阶段实施：1.  自2025年1月起，所有手机、平板电脑、数码相机、电子阅读器、手持式视频游戏机、耳机、耳麦、耳塞、键盘、鼠标、便携式导航系统、便携式扬声器和无线路由器都必须符合监管要求</w:t>
            </w:r>
            <w:r>
              <w:rPr>
                <w:color w:val="000000"/>
                <w:sz w:val="22"/>
                <w:szCs w:val="22"/>
              </w:rPr>
              <w:t>；</w:t>
            </w:r>
            <w:r>
              <w:rPr>
                <w:rFonts w:hint="eastAsia"/>
                <w:color w:val="000000"/>
                <w:sz w:val="22"/>
                <w:szCs w:val="22"/>
              </w:rPr>
              <w:t>2.  自2026年4月起，统一USB-Type C充电端口范围内的监管要求应扩展至笔记本电脑，确保其与标准化充电基础设施兼容。发布本通报是为了提高透明度。此外，所有技术措施一经制定，将立即予以通报，并将考虑征求意见期和生效日期。决定草案考虑强制统一智能手机和电子设备的充电器。根据统一智能手机和电子设备 USB-TYPE C充电端口的形式（USB-TYPE C）的决定范围内的产品领域，更新相关法规并满足技术法规、标准、规范和相关决定中适用的所有技术和行政要求。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69</w:t>
            </w:r>
          </w:p>
        </w:tc>
        <w:tc>
          <w:tcPr>
            <w:tcW w:w="12223" w:type="dxa"/>
            <w:vAlign w:val="center"/>
          </w:tcPr>
          <w:p>
            <w:pPr>
              <w:jc w:val="left"/>
              <w:rPr>
                <w:rFonts w:ascii="宋体" w:cs="宋体"/>
                <w:sz w:val="22"/>
                <w:szCs w:val="22"/>
              </w:rPr>
            </w:pPr>
            <w:r>
              <w:rPr>
                <w:rFonts w:hint="eastAsia"/>
                <w:color w:val="000000"/>
                <w:sz w:val="22"/>
                <w:szCs w:val="22"/>
              </w:rPr>
              <w:t>运动辅助食品 。运动产品包括运动食品和饮料，例如粉末、液体、咀嚼片或泡腾片和条状食品饮料，主要由碳水化合物、脂肪、蛋白质或氨基酸组成，在其制备过程中包含以下一种或多种成分：氨基酸、维生素和矿物质。植物提取物，不得用于减肥或作为医疗的一部分，其中包括高碳水化合物补充剂、蛋白质能量补充剂、能量补充剂、其他用途的运动辅助食品。</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70</w:t>
            </w:r>
          </w:p>
        </w:tc>
        <w:tc>
          <w:tcPr>
            <w:tcW w:w="12223" w:type="dxa"/>
            <w:vAlign w:val="center"/>
          </w:tcPr>
          <w:p>
            <w:pPr>
              <w:jc w:val="left"/>
              <w:rPr>
                <w:rFonts w:ascii="宋体" w:cs="宋体"/>
                <w:sz w:val="22"/>
                <w:szCs w:val="22"/>
              </w:rPr>
            </w:pPr>
            <w:r>
              <w:rPr>
                <w:rFonts w:hint="eastAsia"/>
                <w:color w:val="000000"/>
                <w:sz w:val="22"/>
                <w:szCs w:val="22"/>
              </w:rPr>
              <w:t>机动车辆——紧急呼叫“eCall”的技术要求。沙特标准、计量和质量局（SASO）根据相关的国际和国内外国标准以及其他参考资料，编制了最新标准SASO 2944 的草案，即《机动车辆——紧急呼叫“eCall”的技术要求》，该标准涉及机动车辆紧急呼叫系统技术要求的制定。该标准涉及到进口到沙特阿拉伯的新轻型汽车（LDV）的紧急呼叫和连接技术要求。该标准的主要变化如下：添加了4G要求和参考资料；年产量少于75辆的小批量生产车辆无需配备车载eCall系统；将标准的适用日期延期至2027年1月1日。</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71</w:t>
            </w:r>
          </w:p>
        </w:tc>
        <w:tc>
          <w:tcPr>
            <w:tcW w:w="12223" w:type="dxa"/>
            <w:vAlign w:val="center"/>
          </w:tcPr>
          <w:p>
            <w:pPr>
              <w:jc w:val="left"/>
              <w:rPr>
                <w:rFonts w:ascii="宋体" w:cs="宋体"/>
                <w:sz w:val="22"/>
                <w:szCs w:val="22"/>
              </w:rPr>
            </w:pPr>
            <w:r>
              <w:rPr>
                <w:rFonts w:hint="eastAsia"/>
                <w:color w:val="000000"/>
                <w:sz w:val="22"/>
                <w:szCs w:val="22"/>
              </w:rPr>
              <w:t>运动补充食品。运动产品包括运动食品和饮料，例如粉末、液体、咀嚼片或泡腾片和条状食品饮料，主要由碳水化合物、脂肪、蛋白质或氨基酸组成，在其制备过程中包含以下一种或多种成分：氨基酸、维生素和矿物质。植物提取物，不得用于减肥或作为医疗的一部分，其中包括高碳水化合物补充剂、蛋白质能量补充剂、能量补充剂、其他用途的运动辅助食品。 </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坦桑尼亚</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72</w:t>
            </w:r>
          </w:p>
        </w:tc>
        <w:tc>
          <w:tcPr>
            <w:tcW w:w="12223" w:type="dxa"/>
            <w:vAlign w:val="center"/>
          </w:tcPr>
          <w:p>
            <w:pPr>
              <w:jc w:val="left"/>
              <w:rPr>
                <w:rFonts w:ascii="宋体" w:cs="宋体"/>
                <w:sz w:val="22"/>
                <w:szCs w:val="22"/>
              </w:rPr>
            </w:pPr>
            <w:r>
              <w:rPr>
                <w:rFonts w:hint="eastAsia"/>
                <w:color w:val="000000"/>
                <w:sz w:val="22"/>
                <w:szCs w:val="22"/>
              </w:rPr>
              <w:t>TDC 11 CD2（1947），皮革——衬里——规范，第一版。该坦桑尼亚标准草案规定了衬里皮革的要求、测试方法和取样方法。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73</w:t>
            </w:r>
          </w:p>
        </w:tc>
        <w:tc>
          <w:tcPr>
            <w:tcW w:w="12223" w:type="dxa"/>
            <w:vAlign w:val="center"/>
          </w:tcPr>
          <w:p>
            <w:pPr>
              <w:jc w:val="left"/>
              <w:rPr>
                <w:rFonts w:ascii="宋体" w:cs="宋体"/>
                <w:sz w:val="22"/>
                <w:szCs w:val="22"/>
              </w:rPr>
            </w:pPr>
            <w:r>
              <w:rPr>
                <w:rFonts w:hint="eastAsia"/>
                <w:color w:val="000000"/>
                <w:sz w:val="22"/>
                <w:szCs w:val="22"/>
              </w:rPr>
              <w:t>TDC 11 CD2（1946），油封用皮革——规范，第一版。该坦桑尼亚标准草案规定了油封用皮革的材料、要求和测试方法。包括适用于制造在室温或60℃至100℃运行的慢速或高速轴所需油封的皮革。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74</w:t>
            </w:r>
          </w:p>
        </w:tc>
        <w:tc>
          <w:tcPr>
            <w:tcW w:w="12223" w:type="dxa"/>
            <w:vAlign w:val="center"/>
          </w:tcPr>
          <w:p>
            <w:pPr>
              <w:jc w:val="left"/>
              <w:rPr>
                <w:rFonts w:ascii="宋体" w:cs="宋体"/>
                <w:sz w:val="22"/>
                <w:szCs w:val="22"/>
              </w:rPr>
            </w:pPr>
            <w:r>
              <w:rPr>
                <w:rFonts w:hint="eastAsia"/>
                <w:color w:val="000000"/>
                <w:sz w:val="22"/>
                <w:szCs w:val="22"/>
              </w:rPr>
              <w:t>TDC 11 CD2（1945），皮革——排球——规范，第一版。该坦桑尼亚标准草案规定了由皮革或合成材料制成的排球的要求和测试方法。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75</w:t>
            </w:r>
          </w:p>
        </w:tc>
        <w:tc>
          <w:tcPr>
            <w:tcW w:w="12223" w:type="dxa"/>
            <w:vAlign w:val="center"/>
          </w:tcPr>
          <w:p>
            <w:pPr>
              <w:jc w:val="left"/>
              <w:rPr>
                <w:rFonts w:ascii="宋体" w:cs="宋体"/>
                <w:sz w:val="22"/>
                <w:szCs w:val="22"/>
              </w:rPr>
            </w:pPr>
            <w:r>
              <w:rPr>
                <w:rFonts w:hint="eastAsia"/>
                <w:color w:val="000000"/>
                <w:sz w:val="22"/>
                <w:szCs w:val="22"/>
              </w:rPr>
              <w:t>PCD 506: 2023，散沫花膏--规格，第一版。该桑给巴尔国家标准草案规定了锥形和其他相关包装的现成散沫花膏的要求、取样和测试方法。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76</w:t>
            </w:r>
          </w:p>
        </w:tc>
        <w:tc>
          <w:tcPr>
            <w:tcW w:w="12223" w:type="dxa"/>
            <w:vAlign w:val="center"/>
          </w:tcPr>
          <w:p>
            <w:pPr>
              <w:jc w:val="left"/>
              <w:rPr>
                <w:rFonts w:ascii="宋体" w:cs="宋体"/>
                <w:sz w:val="22"/>
                <w:szCs w:val="22"/>
              </w:rPr>
            </w:pPr>
            <w:r>
              <w:rPr>
                <w:rFonts w:hint="eastAsia"/>
                <w:color w:val="000000"/>
                <w:sz w:val="22"/>
                <w:szCs w:val="22"/>
              </w:rPr>
              <w:t>DARS 878:2023，大麦粒——规范，第二版。该非洲标准草案规定了种植大麦（Hordeum vulgare Lin）和球茎大麦（Hordeum bulbosum）获得的、供人食用的大麦粒品种（栽培品种）的要求、取样和测试方法。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77</w:t>
            </w:r>
          </w:p>
        </w:tc>
        <w:tc>
          <w:tcPr>
            <w:tcW w:w="12223" w:type="dxa"/>
            <w:vAlign w:val="center"/>
          </w:tcPr>
          <w:p>
            <w:pPr>
              <w:jc w:val="left"/>
              <w:rPr>
                <w:rFonts w:ascii="宋体" w:cs="宋体"/>
                <w:sz w:val="22"/>
                <w:szCs w:val="22"/>
              </w:rPr>
            </w:pPr>
            <w:r>
              <w:rPr>
                <w:rFonts w:hint="eastAsia"/>
                <w:color w:val="000000"/>
                <w:sz w:val="22"/>
                <w:szCs w:val="22"/>
              </w:rPr>
              <w:t>DARS 872: 2023，干大豆—— 规范，第二版。该非洲标准草案规定了种植大豆（Glycine max (L.)）获得的、供人食用的品种（栽培品种）的干大豆全豆的要求、取样和测试方法。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78</w:t>
            </w:r>
          </w:p>
        </w:tc>
        <w:tc>
          <w:tcPr>
            <w:tcW w:w="12223" w:type="dxa"/>
            <w:vAlign w:val="center"/>
          </w:tcPr>
          <w:p>
            <w:pPr>
              <w:jc w:val="left"/>
              <w:rPr>
                <w:rFonts w:ascii="宋体" w:cs="宋体"/>
                <w:sz w:val="22"/>
                <w:szCs w:val="22"/>
              </w:rPr>
            </w:pPr>
            <w:r>
              <w:rPr>
                <w:rFonts w:hint="eastAsia"/>
                <w:color w:val="000000"/>
                <w:sz w:val="22"/>
                <w:szCs w:val="22"/>
              </w:rPr>
              <w:t>DARS 874:2023，干利马豆——规范，第二版。该非洲标准草案规定了种植利马豆（Phaseolus lunatus L.）获得的、供人食用的栽培品种的干利马豆的要求、抽样和测试方法。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79</w:t>
            </w:r>
          </w:p>
        </w:tc>
        <w:tc>
          <w:tcPr>
            <w:tcW w:w="12223" w:type="dxa"/>
            <w:vAlign w:val="center"/>
          </w:tcPr>
          <w:p>
            <w:pPr>
              <w:jc w:val="left"/>
              <w:rPr>
                <w:rFonts w:ascii="宋体" w:cs="宋体"/>
                <w:sz w:val="22"/>
                <w:szCs w:val="22"/>
              </w:rPr>
            </w:pPr>
            <w:r>
              <w:rPr>
                <w:rFonts w:hint="eastAsia"/>
                <w:color w:val="000000"/>
                <w:sz w:val="22"/>
                <w:szCs w:val="22"/>
              </w:rPr>
              <w:t>DARS 866: 2023，干鹰嘴豆——规范，第二版。该非洲标准草案规定了种植鹰嘴豆（Cicer arietinum (L.)获得的、供人食用品种（栽培品种）的干鹰嘴豆的要求、抽样和测试方法。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80</w:t>
            </w:r>
          </w:p>
        </w:tc>
        <w:tc>
          <w:tcPr>
            <w:tcW w:w="12223" w:type="dxa"/>
            <w:vAlign w:val="center"/>
          </w:tcPr>
          <w:p>
            <w:pPr>
              <w:jc w:val="left"/>
              <w:rPr>
                <w:rFonts w:ascii="宋体" w:cs="宋体"/>
                <w:sz w:val="22"/>
                <w:szCs w:val="22"/>
              </w:rPr>
            </w:pPr>
            <w:r>
              <w:rPr>
                <w:rFonts w:hint="eastAsia"/>
                <w:color w:val="000000"/>
                <w:sz w:val="22"/>
                <w:szCs w:val="22"/>
              </w:rPr>
              <w:t>DARS 470:2023，小麦粉——规范，第三版。该非洲标准草案也已向卫生与植物卫生措施委员会进行了通报。该非洲标准草案规定了由普通小麦（Triticum aestivum L.）或大粒小麦（Triticum compactum Host）或其混合物制备的、供人食用的小麦粉的要求、测试方法和取样。 该经修订标准已合并了小麦粉的具体成分要求。该标准规定了小麦粉中食品添加剂的允许含量。此外，还规定了小麦粉的微生物要求。该非洲标准是对第二版ARS 470:2016(E)，小麦粉——规范的技术修订，后者已被取代并废止。</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81</w:t>
            </w:r>
          </w:p>
        </w:tc>
        <w:tc>
          <w:tcPr>
            <w:tcW w:w="12223" w:type="dxa"/>
            <w:vAlign w:val="center"/>
          </w:tcPr>
          <w:p>
            <w:pPr>
              <w:jc w:val="left"/>
              <w:rPr>
                <w:rFonts w:ascii="宋体" w:cs="宋体"/>
                <w:sz w:val="22"/>
                <w:szCs w:val="22"/>
              </w:rPr>
            </w:pPr>
            <w:r>
              <w:rPr>
                <w:rFonts w:hint="eastAsia"/>
                <w:color w:val="000000"/>
                <w:sz w:val="22"/>
                <w:szCs w:val="22"/>
              </w:rPr>
              <w:t>DARS 935: 2023，食用全脂大豆粉——规范，第二版。该非洲标准草案规定了从大豆（Glycine max(L.) Merr）中提取的、供人食用的食用全脂大豆粉的要求、抽样和测试方法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82</w:t>
            </w:r>
          </w:p>
        </w:tc>
        <w:tc>
          <w:tcPr>
            <w:tcW w:w="12223" w:type="dxa"/>
            <w:vAlign w:val="center"/>
          </w:tcPr>
          <w:p>
            <w:pPr>
              <w:jc w:val="left"/>
              <w:rPr>
                <w:rFonts w:ascii="宋体" w:cs="宋体"/>
                <w:sz w:val="22"/>
                <w:szCs w:val="22"/>
              </w:rPr>
            </w:pPr>
            <w:r>
              <w:rPr>
                <w:rFonts w:hint="eastAsia"/>
                <w:color w:val="000000"/>
                <w:sz w:val="22"/>
                <w:szCs w:val="22"/>
              </w:rPr>
              <w:t>DARS 865: 2023，干绿豆——规范，第二版。该非洲标准草案规定了供人食用的、绿豆（Vigna radiata (L.)）栽培品种的干绿豆的要求、取样和测试方法。</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83</w:t>
            </w:r>
          </w:p>
        </w:tc>
        <w:tc>
          <w:tcPr>
            <w:tcW w:w="12223" w:type="dxa"/>
            <w:vAlign w:val="center"/>
          </w:tcPr>
          <w:p>
            <w:pPr>
              <w:jc w:val="left"/>
              <w:rPr>
                <w:rFonts w:ascii="宋体" w:cs="宋体"/>
                <w:sz w:val="22"/>
                <w:szCs w:val="22"/>
              </w:rPr>
            </w:pPr>
            <w:r>
              <w:rPr>
                <w:rFonts w:hint="eastAsia"/>
                <w:color w:val="000000"/>
                <w:sz w:val="22"/>
                <w:szCs w:val="22"/>
              </w:rPr>
              <w:t>DARS 873: 2023，干蚕豆——规范，第二版。该非洲标准最终草案规定了种植蚕豆（Vicia faba L.）获得的、供人食用的栽培品种干蚕豆的要求、抽样和测试方法。</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以色列</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84</w:t>
            </w:r>
          </w:p>
        </w:tc>
        <w:tc>
          <w:tcPr>
            <w:tcW w:w="12223" w:type="dxa"/>
            <w:vAlign w:val="center"/>
          </w:tcPr>
          <w:p>
            <w:pPr>
              <w:jc w:val="left"/>
              <w:rPr>
                <w:rFonts w:ascii="宋体" w:cs="宋体"/>
                <w:sz w:val="22"/>
                <w:szCs w:val="22"/>
              </w:rPr>
            </w:pPr>
            <w:r>
              <w:rPr>
                <w:rFonts w:hint="eastAsia"/>
                <w:color w:val="000000"/>
                <w:sz w:val="22"/>
                <w:szCs w:val="22"/>
              </w:rPr>
              <w:t>SI 682第2部分——家用儿童床和折叠床：测试方法。修订强制性标准SI 682第2部分，涉及家用儿童床和折叠床的测试方法。该标准修订草案采用了欧洲标准EN 716-2：2017年6月，并在标准的希伯来语部分做了一些修改。旧版本与本次新修订的标准草案的主要区别如下：引入修订内容；修改了错误引用的条款·澄清了第4.3节“测试床垫”；修改了第5.7.1节“床垫底座和婴儿床底座的折叠测试”。该拟议的修订删除了之前草案中希伯来语部分第6节中增加的国家测试报告要求。旧标准和新修订的标准均将在本修订生效后的12个月内适用。在此期间，可根据旧标准或新修订标准对产品进行检测。</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85</w:t>
            </w:r>
          </w:p>
        </w:tc>
        <w:tc>
          <w:tcPr>
            <w:tcW w:w="12223" w:type="dxa"/>
            <w:vAlign w:val="center"/>
          </w:tcPr>
          <w:p>
            <w:pPr>
              <w:jc w:val="left"/>
              <w:rPr>
                <w:rFonts w:ascii="宋体" w:cs="宋体"/>
                <w:sz w:val="22"/>
                <w:szCs w:val="22"/>
              </w:rPr>
            </w:pPr>
            <w:r>
              <w:rPr>
                <w:rFonts w:hint="eastAsia"/>
                <w:color w:val="000000"/>
                <w:sz w:val="22"/>
                <w:szCs w:val="22"/>
              </w:rPr>
              <w:t>SI 1505 第2部分——饮用水处理系统：反渗透系统；  修订强制性标准SI 1505第2部分，涉及饮用水反渗透处理系统。 该拟议标准采用了美国标准 NSF/ANSI 58 - 2020的要求，希伯来语部分出现了国家偏差。自该修订生效之日起，旧标准和新修订标准均将适用六个月。在此期间，可根据旧标准或新修订标准对产品进行测试。</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乌克兰</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86</w:t>
            </w:r>
          </w:p>
        </w:tc>
        <w:tc>
          <w:tcPr>
            <w:tcW w:w="12223" w:type="dxa"/>
            <w:vAlign w:val="center"/>
          </w:tcPr>
          <w:p>
            <w:pPr>
              <w:jc w:val="center"/>
              <w:rPr>
                <w:rFonts w:ascii="宋体" w:cs="宋体"/>
                <w:sz w:val="22"/>
                <w:szCs w:val="22"/>
              </w:rPr>
            </w:pPr>
            <w:r>
              <w:rPr>
                <w:rFonts w:hint="eastAsia"/>
                <w:color w:val="000000"/>
                <w:sz w:val="22"/>
                <w:szCs w:val="22"/>
              </w:rPr>
              <w:t>乌克兰内阁“关于批准适用某些技术条例的产品清单和修订乌克兰内阁某些决议”的决议草案。该决议草案规定批准适用某些技术条例的产品清单，其中包含可能受相关技术条例管制的产品，而这些产品对于确保乌克兰戒严时期能源行业问题所需的必要设备至关重要。该决议草案还修订了乌克兰内阁批准技术条例的决议，规定在乌克兰戒严令终止或取消之前，以及在未来90个日历日内，允许在市场上和/或投入使用列入适用某些技术条例的产品清单的产品，无需适用技术条例的合格声明和合格标志要求。这类产品尤其包括低压电气设备、电磁兼容设备、测量仪器、电气和电子设备、户外使用的设备、导航设备等。</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87</w:t>
            </w:r>
          </w:p>
        </w:tc>
        <w:tc>
          <w:tcPr>
            <w:tcW w:w="12223" w:type="dxa"/>
            <w:vAlign w:val="center"/>
          </w:tcPr>
          <w:p>
            <w:pPr>
              <w:jc w:val="left"/>
              <w:rPr>
                <w:rFonts w:ascii="宋体" w:cs="宋体"/>
                <w:sz w:val="22"/>
                <w:szCs w:val="22"/>
              </w:rPr>
            </w:pPr>
            <w:r>
              <w:rPr>
                <w:rFonts w:hint="eastAsia"/>
                <w:color w:val="000000"/>
                <w:sz w:val="22"/>
                <w:szCs w:val="22"/>
              </w:rPr>
              <w:t>乌克兰内阁“关于批准种子和/或种植材料证书的认证、发放和注销程序以及种子和/或种植材料证书的形式，并废除乌克兰内阁的某些决议”的决议草案  该决议草案旨在确保对种子和种植材料进行及时、高质量认证，减轻商业实体的负担，确保向市场供应高质量的种子和种植材料，确保乌克兰履行欧盟法律规定的义务，改进种子和种植材料的合格评估程序。决议草案的规定确定了下列事项：旨在确定种子品种和播种质量、颁发种子证书及其注销的一系列措施的实施程序；水果、浆果、坚果、稀有（药用、观赏）作物、葡萄和啤酒花种植材料的认证以及种植材料证书的签发和注销程序；乌克兰海关进口种子和种植材料证书的特殊性；在申请人（种子和/或种植实体）之间以及直接与作为独立专家的认证审核员（农艺师-检验员）签订提供实地评估服务协议的条件；认证机构对至少5%的工作（将进行实地评估的作物或种植园）进行抽样评估的要求；担任独立专家的认证审核员（农艺师-检验员）有义务确保在确定种子和种植材料品种质量的活动中收到的信息的保密性，以及独立于种子和苗圃企业的商业利益和其他利益；认证审核员（农艺师-检验员）作为独立专家，对所发布的田间评估报告和种子作物及多年生植物剔除报告中包含的信息的准确性承担个人责任；经授权的种子生产商确定其播种质量的可能性；确认种子品种和播种质量的证书格式；确认种植材料品种和商业质量的证书格式；确定种子品种和播种质量的申请表；确定种植材料品种和商业质量的申请表；授权种子生产商确定其播种质量的可能性；种子和种植材料证书的有效期。</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英国</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88</w:t>
            </w:r>
          </w:p>
        </w:tc>
        <w:tc>
          <w:tcPr>
            <w:tcW w:w="12223" w:type="dxa"/>
            <w:vAlign w:val="center"/>
          </w:tcPr>
          <w:p>
            <w:pPr>
              <w:jc w:val="left"/>
              <w:rPr>
                <w:rFonts w:ascii="宋体" w:cs="宋体"/>
                <w:sz w:val="22"/>
                <w:szCs w:val="22"/>
              </w:rPr>
            </w:pPr>
            <w:r>
              <w:rPr>
                <w:rFonts w:hint="eastAsia"/>
                <w:color w:val="000000"/>
                <w:sz w:val="22"/>
                <w:szCs w:val="22"/>
              </w:rPr>
              <w:t>在线征询意见：强制要求烟草包装内标明戒烟信息。本通报旨在提醒各成员国注意英国政府关于在英国市场上销售的烟盒（也称烟标）内强制加入戒烟主题信息和劝告的征询意见，以帮助更多吸烟者戒烟。英国卫生与社会保障部健康改善与差异办公室（OHID）将代表英国政府和英国各地方政府主导此次征询意见工作。英国政府将在审查意见的答复后考虑下一步措施，其中可能包括通过法规强制添加。</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89</w:t>
            </w:r>
          </w:p>
        </w:tc>
        <w:tc>
          <w:tcPr>
            <w:tcW w:w="12223" w:type="dxa"/>
            <w:vAlign w:val="center"/>
          </w:tcPr>
          <w:p>
            <w:pPr>
              <w:jc w:val="left"/>
              <w:rPr>
                <w:rFonts w:ascii="宋体" w:cs="宋体"/>
                <w:sz w:val="22"/>
                <w:szCs w:val="22"/>
              </w:rPr>
            </w:pPr>
            <w:r>
              <w:rPr>
                <w:rFonts w:hint="eastAsia"/>
                <w:color w:val="000000"/>
                <w:sz w:val="22"/>
                <w:szCs w:val="22"/>
              </w:rPr>
              <w:t>拟议的26种危险化学品英国（GB）强制分类和标签。该提案的目的是在审查之后，引入26种危险化学品强制分类和标签的新增及修订后条目，修订英国强制分类和标签清单（GB MCL清单）。</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越南</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90</w:t>
            </w:r>
          </w:p>
        </w:tc>
        <w:tc>
          <w:tcPr>
            <w:tcW w:w="12223" w:type="dxa"/>
            <w:vAlign w:val="center"/>
          </w:tcPr>
          <w:p>
            <w:pPr>
              <w:jc w:val="left"/>
              <w:rPr>
                <w:rFonts w:ascii="宋体" w:cs="宋体"/>
                <w:sz w:val="22"/>
                <w:szCs w:val="22"/>
              </w:rPr>
            </w:pPr>
            <w:r>
              <w:rPr>
                <w:rFonts w:hint="eastAsia"/>
                <w:color w:val="000000"/>
                <w:sz w:val="22"/>
                <w:szCs w:val="22"/>
              </w:rPr>
              <w:t>国家制冷系统安全工作技术条例草案。该国家技术条例草案规定了在设计、制造、进口、购买、拥有、安装、使用、操作、维护、修理、回收和处置制冷系统（包括从现有或使用过的系统中新建、扩建或翻新系统，将系统移至其他地点并在其他地点运行；从一种制冷剂更换为另一种制冷剂的系统）、热泵、带有蒸发和冷凝闭环制冷剂的吸收系统（根据TCVN 6739:2015中的安全分类，使用B1、B2、B2L、B3、A2、A3组和A1组别（装载量为05千克及以上）、A2L组（装载量为 05千克及以上）制冷剂）时的职业健康和安全要求。</w:t>
            </w:r>
          </w:p>
        </w:tc>
      </w:tr>
    </w:tbl>
    <w:p>
      <w:pPr>
        <w:autoSpaceDN w:val="0"/>
        <w:adjustRightInd w:val="0"/>
        <w:snapToGrid w:val="0"/>
        <w:spacing w:line="560" w:lineRule="exact"/>
        <w:ind w:firstLineChars="265" w:firstLine="848"/>
        <w:rPr>
          <w:rFonts w:ascii="方正仿宋_GBK" w:eastAsia="方正仿宋_GBK" w:cs="Times New Roman"/>
          <w:sz w:val="32"/>
          <w:szCs w:val="32"/>
        </w:rPr>
      </w:pPr>
      <w:r>
        <w:rPr>
          <w:rStyle w:val="19Cha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cs="方正仿宋_GBK" w:hint="eastAsia"/>
          <w:sz w:val="32"/>
          <w:szCs w:val="32"/>
        </w:rPr>
        <w:t>各国（地区）技术性贸易措施</w:t>
      </w:r>
      <w:r>
        <w:rPr>
          <w:rStyle w:val="19Char"/>
          <w:rFonts w:ascii="方正仿宋_GBK" w:eastAsia="方正仿宋_GBK" w:cs="方正仿宋_GBK" w:hint="eastAsia"/>
          <w:kern w:val="0"/>
          <w:sz w:val="32"/>
          <w:szCs w:val="32"/>
        </w:rPr>
        <w:t>，</w:t>
      </w:r>
      <w:r>
        <w:rPr>
          <w:rFonts w:ascii="方正仿宋_GBK" w:eastAsia="方正仿宋_GBK" w:cs="方正仿宋_GBK" w:hint="eastAsia"/>
          <w:sz w:val="32"/>
          <w:szCs w:val="32"/>
        </w:rPr>
        <w:t>根据需要及时向社会公布</w:t>
      </w:r>
      <w:r>
        <w:rPr>
          <w:rStyle w:val="19Char"/>
          <w:rFonts w:ascii="方正仿宋_GBK" w:eastAsia="方正仿宋_GBK" w:cs="方正仿宋_GBK" w:hint="eastAsia"/>
          <w:kern w:val="0"/>
          <w:sz w:val="32"/>
          <w:szCs w:val="32"/>
        </w:rPr>
        <w:t>，优化营商环境，</w:t>
      </w:r>
      <w:r>
        <w:rPr>
          <w:rFonts w:ascii="方正仿宋_GBK" w:eastAsia="方正仿宋_GBK" w:cs="方正仿宋_GBK" w:hint="eastAsia"/>
          <w:sz w:val="32"/>
          <w:szCs w:val="32"/>
        </w:rPr>
        <w:t>做好稳外贸稳外资工作，服务外贸企业，帮助企业有效应对，降低技术性贸易措施带来的影响和损失。</w:t>
      </w:r>
    </w:p>
    <w:p>
      <w:pPr>
        <w:pStyle w:val="20"/>
        <w:ind w:firstLineChars="200" w:firstLine="640"/>
        <w:jc w:val="center"/>
        <w:rPr>
          <w:rFonts w:ascii="方正仿宋_GBK" w:eastAsia="方正仿宋_GBK" w:cs="Times New Roman"/>
          <w:sz w:val="32"/>
          <w:szCs w:val="32"/>
        </w:rPr>
      </w:pPr>
      <w:r>
        <w:rPr>
          <w:rFonts w:ascii="方正仿宋_GBK" w:eastAsia="方正仿宋_GBK" w:cs="方正仿宋_GBK" w:hint="eastAsia"/>
          <w:sz w:val="32"/>
          <w:szCs w:val="32"/>
        </w:rPr>
        <w:t xml:space="preserve">                                                               武汉海关</w:t>
      </w:r>
    </w:p>
    <w:p>
      <w:pPr>
        <w:autoSpaceDN w:val="0"/>
        <w:ind w:right="480" w:firstLineChars="200" w:firstLine="640"/>
        <w:jc w:val="right"/>
        <w:rPr>
          <w:rFonts w:cs="Times New Roman"/>
        </w:rPr>
      </w:pPr>
      <w:r>
        <w:rPr>
          <w:rFonts w:ascii="Times New Roman" w:eastAsia="方正仿宋_GBK" w:cs="Times New Roman" w:hAnsi="Times New Roman"/>
          <w:sz w:val="32"/>
          <w:szCs w:val="32"/>
        </w:rPr>
        <w:t>202</w:t>
      </w:r>
      <w:r>
        <w:rPr>
          <w:rFonts w:ascii="Times New Roman" w:eastAsia="方正仿宋_GBK" w:cs="Times New Roman" w:hAnsi="Times New Roman" w:hint="eastAsia"/>
          <w:sz w:val="32"/>
          <w:szCs w:val="32"/>
        </w:rPr>
        <w:t>3</w:t>
      </w:r>
      <w:r>
        <w:rPr>
          <w:rFonts w:ascii="Times New Roman" w:eastAsia="方正仿宋_GBK" w:cs="方正仿宋_GBK" w:hAnsi="Times New Roman" w:hint="eastAsia"/>
          <w:sz w:val="32"/>
          <w:szCs w:val="32"/>
        </w:rPr>
        <w:t>年</w:t>
      </w:r>
      <w:r>
        <w:rPr>
          <w:rFonts w:ascii="Times New Roman" w:eastAsia="方正仿宋_GBK" w:cs="Times New Roman" w:hAnsi="Times New Roman" w:hint="eastAsia"/>
          <w:sz w:val="32"/>
          <w:szCs w:val="32"/>
        </w:rPr>
        <w:t>9</w:t>
      </w:r>
      <w:r>
        <w:rPr>
          <w:rFonts w:ascii="Times New Roman" w:eastAsia="方正仿宋_GBK" w:cs="方正仿宋_GBK" w:hAnsi="Times New Roman" w:hint="eastAsia"/>
          <w:sz w:val="32"/>
          <w:szCs w:val="32"/>
        </w:rPr>
        <w:t>月</w:t>
      </w:r>
      <w:r>
        <w:rPr>
          <w:rFonts w:ascii="Times New Roman" w:eastAsia="方正仿宋_GBK" w:cs="Times New Roman" w:hAnsi="Times New Roman" w:hint="eastAsia"/>
          <w:sz w:val="32"/>
          <w:szCs w:val="32"/>
        </w:rPr>
        <w:t>15</w:t>
      </w:r>
      <w:r>
        <w:rPr>
          <w:rFonts w:ascii="Times New Roman" w:eastAsia="方正仿宋_GBK" w:cs="方正仿宋_GBK" w:hAnsi="Times New Roman" w:hint="eastAsia"/>
          <w:sz w:val="32"/>
          <w:szCs w:val="32"/>
        </w:rPr>
        <w:t>日</w:t>
      </w: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NormalCharacter"/>
  </w:style>
  <w:style w:type="character" w:customStyle="1" w:styleId="18">
    <w:name w:val="im-content1"/>
    <w:basedOn w:val="10"/>
    <w:rPr>
      <w:color w:val="000000"/>
    </w:rPr>
  </w:style>
  <w:style w:type="paragraph" w:customStyle="1" w:styleId="19">
    <w:name w:val="样式"/>
    <w:link w:val="19Char"/>
    <w:rPr>
      <w:rFonts w:ascii="Times New Roman" w:eastAsia="宋体" w:cs="Times New Roman" w:hAnsi="Times New Roman"/>
      <w:lang w:val="en-US" w:eastAsia="zh-CN" w:bidi="ar-SA"/>
    </w:rPr>
  </w:style>
  <w:style w:type="character" w:customStyle="1" w:styleId="19Char">
    <w:name w:val="样式 Char"/>
    <w:basedOn w:val="10"/>
    <w:link w:val="19"/>
    <w:rPr>
      <w:rFonts w:ascii="Times New Roman" w:eastAsia="宋体" w:cs="Times New Roman" w:hAnsi="Times New Roman"/>
      <w:lang w:val="en-US" w:eastAsia="zh-CN" w:bidi="ar-SA"/>
    </w:rPr>
  </w:style>
  <w:style w:type="paragraph" w:customStyle="1" w:styleId="20">
    <w:name w:val="样式 1 10 磅"/>
    <w:pPr>
      <w:widowControl w:val="0"/>
      <w:jc w:val="both"/>
    </w:pPr>
    <w:rPr>
      <w:rFonts w:ascii="Calibri" w:eastAsia="宋体" w:cs="Calibri" w:hAnsi="Calibri"/>
      <w:kern w:val="2"/>
      <w:sz w:val="21"/>
      <w:szCs w:val="21"/>
      <w:lang w:val="en-US" w:eastAsia="zh-CN" w:bidi="ar-SA"/>
    </w:rPr>
  </w:style>
  <w:style w:type="character" w:customStyle="1" w:styleId="21">
    <w:name w:val="font21"/>
    <w:basedOn w:val="10"/>
    <w:rPr>
      <w:rFonts w:ascii="宋体" w:eastAsia="宋体" w:cs="宋体"/>
      <w:color w:val="000000"/>
      <w:sz w:val="18"/>
      <w:szCs w:val="18"/>
      <w:u w:val="none"/>
    </w:rPr>
  </w:style>
  <w:style w:type="character" w:customStyle="1" w:styleId="22">
    <w:name w:val="font31"/>
    <w:basedOn w:val="10"/>
    <w:rPr>
      <w:rFonts w:ascii="Calibri" w:cs="Calibri" w:hAnsi="Calibri"/>
      <w:color w:val="000000"/>
      <w:sz w:val="18"/>
      <w:szCs w:val="18"/>
      <w:u w:val="none"/>
    </w:rPr>
  </w:style>
  <w:style w:type="character" w:customStyle="1" w:styleId="23">
    <w:name w:val="font11"/>
    <w:basedOn w:val="10"/>
    <w:rPr>
      <w:rFonts w:ascii="Times New Roman" w:cs="Times New Roman" w:hAnsi="Times New Roman"/>
      <w:color w:val="000000"/>
      <w:sz w:val="24"/>
      <w:szCs w:val="24"/>
      <w:u w:val="none"/>
    </w:rPr>
  </w:style>
  <w:style w:type="character" w:customStyle="1" w:styleId="24">
    <w:name w:val="font51"/>
    <w:basedOn w:val="10"/>
    <w:rPr>
      <w:rFonts w:ascii="方正仿宋_GBK" w:eastAsia="方正仿宋_GBK" w:cs="方正仿宋_GBK"/>
      <w:color w:val="000000"/>
      <w:sz w:val="24"/>
      <w:szCs w:val="24"/>
      <w:u w:val="none"/>
    </w:rPr>
  </w:style>
  <w:style w:type="character" w:customStyle="1" w:styleId="25">
    <w:name w:val="font41"/>
    <w:basedOn w:val="10"/>
    <w:rPr>
      <w:rFonts w:ascii="方正仿宋_GBK" w:eastAsia="方正仿宋_GBK" w:cs="方正仿宋_GBK"/>
      <w:color w:val="000000"/>
      <w:sz w:val="24"/>
      <w:szCs w:val="24"/>
      <w:u w:val="none"/>
    </w:rPr>
  </w:style>
  <w:style w:type="character" w:customStyle="1" w:styleId="26">
    <w:name w:val="font61"/>
    <w:basedOn w:val="10"/>
    <w:rPr>
      <w:rFonts w:ascii="方正仿宋_GBK" w:eastAsia="方正仿宋_GBK" w:cs="方正仿宋_GBK"/>
      <w:color w:val="4D4D4D"/>
      <w:sz w:val="24"/>
      <w:szCs w:val="24"/>
      <w:u w:val="none"/>
    </w:rPr>
  </w:style>
  <w:style w:type="character" w:customStyle="1" w:styleId="27">
    <w:name w:val="font01"/>
    <w:basedOn w:val="10"/>
    <w:rPr>
      <w:rFonts w:ascii="宋体" w:eastAsia="宋体" w:cs="宋体"/>
      <w:color w:val="000000"/>
      <w:sz w:val="22"/>
      <w:szCs w:val="22"/>
      <w:u w:val="none"/>
    </w:rPr>
  </w:style>
  <w:style w:type="character" w:customStyle="1" w:styleId="28">
    <w:name w:val="font71"/>
    <w:basedOn w:val="10"/>
    <w:rPr>
      <w:rFonts w:ascii="Times New Roman" w:cs="Times New Roman" w:hAnsi="Times New Roman"/>
      <w:color w:val="auto"/>
      <w:sz w:val="32"/>
      <w:szCs w:val="32"/>
      <w:u w:val="none"/>
    </w:rPr>
  </w:style>
  <w:style w:type="character" w:customStyle="1" w:styleId="29">
    <w:name w:val="font81"/>
    <w:basedOn w:val="10"/>
    <w:rPr>
      <w:rFonts w:ascii="Times New Roman" w:cs="Times New Roman" w:hAnsi="Times New Roman"/>
      <w:color w:val="000000"/>
      <w:sz w:val="32"/>
      <w:szCs w:val="3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32</TotalTime>
  <Application>Yozo_Office</Application>
  <Pages>13</Pages>
  <Words>14236</Words>
  <Characters>16360</Characters>
  <Lines>399</Lines>
  <Paragraphs>211</Paragraphs>
  <CharactersWithSpaces>16651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武汉海关关于发布境外技术性贸易措施风险信息的提示</dc:title>
  <dc:creator>曾繁</dc:creator>
  <cp:lastModifiedBy>范思齐</cp:lastModifiedBy>
  <cp:revision>2</cp:revision>
  <dcterms:created xsi:type="dcterms:W3CDTF">2023-09-15T08:00:00Z</dcterms:created>
  <dcterms:modified xsi:type="dcterms:W3CDTF">2023-09-19T02:23:41Z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CF9849E3307943108F88771BECF146AD</vt:lpwstr>
  </property>
</Properties>
</file>