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ind w:firstLine="420"/>
        <w:jc w:val="center"/>
        <w:rPr>
          <w:rFonts w:ascii="方正小标宋_GBK" w:eastAsia="方正小标宋_GBK" w:cs="Times New Roman"/>
          <w:sz w:val="44"/>
          <w:szCs w:val="44"/>
        </w:rPr>
      </w:pPr>
      <w:bookmarkStart w:id="0" w:name="_GoBack"/>
      <w:bookmarkEnd w:id="0"/>
      <w:r>
        <w:rPr>
          <w:rFonts w:ascii="方正小标宋_GBK" w:eastAsia="方正小标宋_GBK" w:cs="方正小标宋_GBK" w:hint="eastAsia"/>
          <w:sz w:val="44"/>
          <w:szCs w:val="44"/>
        </w:rPr>
        <w:t>武汉海关关于发布境外技术性贸易措施风险信息的提示</w:t>
      </w:r>
    </w:p>
    <w:p>
      <w:pPr>
        <w:autoSpaceDN w:val="0"/>
        <w:adjustRightInd w:val="0"/>
        <w:snapToGrid w:val="0"/>
        <w:spacing w:line="560" w:lineRule="exact"/>
        <w:jc w:val="center"/>
        <w:rPr>
          <w:rFonts w:ascii="方正楷体_GBK" w:eastAsia="方正楷体_GBK" w:cs="Times New Roman"/>
          <w:sz w:val="32"/>
          <w:szCs w:val="32"/>
        </w:rPr>
      </w:pPr>
      <w:r>
        <w:rPr>
          <w:rFonts w:ascii="方正楷体_GBK" w:eastAsia="方正楷体_GBK" w:cs="方正楷体_GBK" w:hint="eastAsia"/>
          <w:sz w:val="32"/>
          <w:szCs w:val="32"/>
        </w:rPr>
        <w:t>（</w:t>
      </w:r>
      <w:r>
        <w:rPr>
          <w:rFonts w:ascii="方正楷体_GBK" w:eastAsia="方正楷体_GBK" w:cs="方正楷体_GBK"/>
          <w:sz w:val="32"/>
          <w:szCs w:val="32"/>
        </w:rPr>
        <w:t>202</w:t>
      </w:r>
      <w:r>
        <w:rPr>
          <w:rFonts w:ascii="方正楷体_GBK" w:eastAsia="方正楷体_GBK" w:cs="方正楷体_GBK" w:hint="eastAsia"/>
          <w:sz w:val="32"/>
          <w:szCs w:val="32"/>
        </w:rPr>
        <w:t>307期总第38期）</w:t>
      </w:r>
    </w:p>
    <w:p>
      <w:pPr>
        <w:autoSpaceDN w:val="0"/>
        <w:adjustRightInd w:val="0"/>
        <w:snapToGrid w:val="0"/>
        <w:spacing w:line="56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4"/>
        <w:gridCol w:w="567"/>
        <w:gridCol w:w="12223"/>
      </w:tblGrid>
      <w:tr>
        <w:trPr>
          <w:trHeight w:val="593"/>
        </w:trPr>
        <w:tc>
          <w:tcPr>
            <w:tcW w:w="1384" w:type="dxa"/>
          </w:tcPr>
          <w:p>
            <w:pPr>
              <w:autoSpaceDN w:val="0"/>
              <w:jc w:val="center"/>
              <w:rPr>
                <w:rFonts w:ascii="Times New Roman" w:cs="Times New Roman" w:hAnsi="Times New Roman"/>
                <w:b/>
                <w:bCs/>
              </w:rPr>
            </w:pPr>
            <w:r>
              <w:rPr>
                <w:rFonts w:ascii="Times New Roman" w:cs="Times New Roman" w:hAnsi="Times New Roman"/>
                <w:b/>
                <w:bCs/>
              </w:rPr>
              <w:t>国家</w:t>
            </w:r>
          </w:p>
          <w:p>
            <w:pPr>
              <w:autoSpaceDN w:val="0"/>
              <w:jc w:val="center"/>
              <w:rPr>
                <w:rFonts w:ascii="Times New Roman" w:cs="Times New Roman" w:hAnsi="Times New Roman"/>
                <w:b/>
                <w:bCs/>
              </w:rPr>
            </w:pPr>
            <w:r>
              <w:rPr>
                <w:rFonts w:ascii="Times New Roman" w:cs="Times New Roman" w:hAnsi="Times New Roman"/>
                <w:b/>
                <w:bCs/>
              </w:rPr>
              <w:t>（地区组织）</w:t>
            </w:r>
          </w:p>
        </w:tc>
        <w:tc>
          <w:tcPr>
            <w:tcW w:w="567" w:type="dxa"/>
          </w:tcPr>
          <w:p>
            <w:pPr>
              <w:autoSpaceDN w:val="0"/>
              <w:jc w:val="center"/>
              <w:rPr>
                <w:rFonts w:ascii="Times New Roman" w:cs="Times New Roman" w:hAnsi="Times New Roman"/>
              </w:rPr>
            </w:pPr>
            <w:r>
              <w:rPr>
                <w:rFonts w:ascii="Times New Roman" w:cs="Times New Roman" w:hAnsi="Times New Roman"/>
                <w:b/>
                <w:bCs/>
              </w:rPr>
              <w:t>序号</w:t>
            </w:r>
          </w:p>
        </w:tc>
        <w:tc>
          <w:tcPr>
            <w:tcW w:w="12223" w:type="dxa"/>
          </w:tcPr>
          <w:p>
            <w:pPr>
              <w:autoSpaceDN w:val="0"/>
              <w:jc w:val="center"/>
              <w:rPr>
                <w:rFonts w:ascii="Times New Roman" w:cs="Times New Roman" w:hAnsi="Times New Roman"/>
              </w:rPr>
            </w:pPr>
            <w:r>
              <w:rPr>
                <w:rFonts w:ascii="Times New Roman" w:cs="Times New Roman" w:hAnsi="Times New Roman"/>
                <w:b/>
                <w:bCs/>
                <w:sz w:val="28"/>
                <w:szCs w:val="28"/>
              </w:rPr>
              <w:t>提示信息</w:t>
            </w:r>
          </w:p>
        </w:tc>
      </w:tr>
      <w:tr>
        <w:tc>
          <w:tcPr>
            <w:tcW w:w="1384" w:type="dxa"/>
            <w:vMerge w:val="restart"/>
            <w:vAlign w:val="center"/>
          </w:tcPr>
          <w:p>
            <w:pPr>
              <w:widowControl/>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美国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w:t>
            </w:r>
          </w:p>
        </w:tc>
        <w:tc>
          <w:tcPr>
            <w:tcW w:w="12223" w:type="dxa"/>
            <w:vAlign w:val="center"/>
          </w:tcPr>
          <w:p>
            <w:pPr>
              <w:jc w:val="left"/>
              <w:rPr>
                <w:rFonts w:ascii="宋体" w:cs="宋体"/>
                <w:color w:val="000000"/>
                <w:sz w:val="22"/>
                <w:szCs w:val="22"/>
              </w:rPr>
            </w:pPr>
            <w:r>
              <w:rPr>
                <w:rFonts w:hint="eastAsia"/>
                <w:color w:val="000000"/>
                <w:sz w:val="22"/>
                <w:szCs w:val="22"/>
              </w:rPr>
              <w:t>节能计划：电动机节能标准，拟议规则制定通知——经修订的《能源政策和养护法》（Energy Policy and Conservation Act）（“EPCA”）规定了各种消费品以及某些商业和工业设备的节能标准，包括电动机。在本文件中，美国能源部提出了与本《联邦公报》其他地方发布的直接最终法规中规定的电动机节能标准相同的、经修订的电动机节能标准（详见相关文件）。如果美国能源部收到反对意见，并确定该意见可为撤销直接最终法规提供合理依据，则美国能源部将发布撤销直接最终法规的通知，并继续执行本拟议法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w:t>
            </w:r>
          </w:p>
        </w:tc>
        <w:tc>
          <w:tcPr>
            <w:tcW w:w="12223" w:type="dxa"/>
            <w:vAlign w:val="center"/>
          </w:tcPr>
          <w:p>
            <w:pPr>
              <w:jc w:val="left"/>
              <w:rPr>
                <w:rFonts w:ascii="宋体" w:cs="宋体"/>
                <w:color w:val="000000"/>
                <w:sz w:val="22"/>
                <w:szCs w:val="22"/>
              </w:rPr>
            </w:pPr>
            <w:r>
              <w:rPr>
                <w:rFonts w:hint="eastAsia"/>
                <w:color w:val="000000"/>
                <w:sz w:val="22"/>
                <w:szCs w:val="22"/>
              </w:rPr>
              <w:t xml:space="preserve">低排放车辆计划，拟议法规一本措施旨在修订特拉华州行政法典第7编第1140部分，更新引用加州先进清洁汽车II低排放车辆和温室气体标准，并增加2027年及以后车型年零排放车辆的要求。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w:t>
            </w:r>
          </w:p>
        </w:tc>
        <w:tc>
          <w:tcPr>
            <w:tcW w:w="12223" w:type="dxa"/>
            <w:vAlign w:val="center"/>
          </w:tcPr>
          <w:p>
            <w:pPr>
              <w:jc w:val="left"/>
              <w:rPr>
                <w:rFonts w:ascii="宋体" w:cs="宋体"/>
                <w:color w:val="4D4D4D"/>
                <w:sz w:val="24"/>
                <w:szCs w:val="24"/>
              </w:rPr>
            </w:pPr>
            <w:r>
              <w:rPr>
                <w:rFonts w:hint="eastAsia"/>
                <w:color w:val="000000"/>
                <w:sz w:val="22"/>
                <w:szCs w:val="22"/>
              </w:rPr>
              <w:t>重型车辆温室气体排放标准---- 第3阶段</w:t>
            </w:r>
            <w:r>
              <w:rPr>
                <w:color w:val="000000"/>
                <w:sz w:val="22"/>
                <w:szCs w:val="22"/>
              </w:rPr>
              <w:t>。</w:t>
            </w:r>
            <w:r>
              <w:rPr>
                <w:rFonts w:hint="eastAsia"/>
                <w:color w:val="000000"/>
                <w:sz w:val="22"/>
                <w:szCs w:val="22"/>
              </w:rPr>
              <w:t>拟议规则制定通知、拟于2023年5月2日和5月3日举行的公开听证会的通知一环境保护署 ( EPA )提议从2028车型年( MY )至2032车型年颁布新的重型公路车辆温室气体标准，并修订之前根据环保署《中型和重型发动机和车辆的温室气体排放和燃料效率标准一第2阶段规则》制定的2027车型年某些温室气体标准。本文件建议更新平均、储存和交易计划的离散要素，包括取消某些类型电动公路重型车辆HD GHG第2阶段先进技术激励计划的最后一个车型年的提案。环保署建议增加对零排放车辆电池和其他部件的保修要求，并要求为插电式混合动力和纯电动汽车提供面向客户的电池健康状态监测器。在本文件中，我们还对某些公路重型车辆规定和重型发动机的某些试验程序提出了额外的修订、澄清和编辑性修改。最后，作为这项措施的一部分，环保署建议修订其法规，解决新机车和机车用新发动机的州法规的优先权问题。2023年5月2日和5月3日将举行为期两天的线上公开听证会。如有必要，可在2023年5月4日再举行一次会议，以容纳报名作证的作证员人数。</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w:t>
            </w:r>
          </w:p>
        </w:tc>
        <w:tc>
          <w:tcPr>
            <w:tcW w:w="12223" w:type="dxa"/>
            <w:vAlign w:val="center"/>
          </w:tcPr>
          <w:p>
            <w:pPr>
              <w:jc w:val="left"/>
              <w:rPr>
                <w:rFonts w:ascii="宋体" w:cs="宋体"/>
                <w:color w:val="000000"/>
                <w:sz w:val="22"/>
                <w:szCs w:val="22"/>
              </w:rPr>
            </w:pPr>
            <w:r>
              <w:rPr>
                <w:rFonts w:hint="eastAsia"/>
                <w:color w:val="000000"/>
                <w:sz w:val="22"/>
                <w:szCs w:val="22"/>
              </w:rPr>
              <w:t xml:space="preserve">2027年款及以后轻型和中型车辆的多污染物排放标准：拟议法规一根据《清洁空气法》的授权，环境保护署( EPA )正在为轻型车辆和2b类和3类(“中型” )拟议法规一根据 《清洁空气法》的授权，环境保护署( EPA )正在为轻型车辆和2b类和3类（“中型”）车辆的标准污染物和温室气体（GHG）提出新的、更严格的排放标准，这些标准将在2027至2032车型年逐步实施。此外，环保署正在几个领域提出温室气体计划修订建议，包括工况外节油优惠和空调优惠、在合规性计算中处理与零排放车辆和插电式混合动力汽车相关的上游排放、中型车辆激励乘数以及车辆认证和合规性。此外，环保署正提出新的标准，以控制不完整的中型车辆的加油排放，以及轻型和中型插电式车辆的电池耐久性和保修要求。环保署也建议进行细微修改，以更新与售后市场燃油转换、进口车辆和发动机、蒸发排放测试程 序和测试燃油规范相关的计划要求，从而测量燃油经济性。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5</w:t>
            </w:r>
          </w:p>
        </w:tc>
        <w:tc>
          <w:tcPr>
            <w:tcW w:w="12223" w:type="dxa"/>
            <w:vAlign w:val="center"/>
          </w:tcPr>
          <w:p>
            <w:pPr>
              <w:jc w:val="left"/>
              <w:rPr>
                <w:rFonts w:ascii="宋体" w:cs="宋体"/>
                <w:color w:val="4D4D4D"/>
                <w:sz w:val="24"/>
                <w:szCs w:val="24"/>
              </w:rPr>
            </w:pPr>
            <w:r>
              <w:rPr>
                <w:rFonts w:hint="eastAsia"/>
                <w:color w:val="000000"/>
                <w:sz w:val="22"/>
                <w:szCs w:val="22"/>
              </w:rPr>
              <w:t>补遗：汽车和轻型-卡车表面涂层操作的性能标准的审查，概要:环境保护署(环保署)正在根据《清洁空气法》的审查要求，对汽车和轻型:卡车表面涂层操作的新源性能标准进行最终修订。环保署确定，需要对NSPS进行修订，以反映通过应用最佳减排系统( BSER )所能达到的排放限制程度。因此，环保署正在根据提议，在新的NSPS子部分MMa中，为2022年5月18日之后开始建设、改造或重建的受影响设施的底涂层、导引涂层和面漆作业，最终确定经修订的挥发性有机化合物( VOC )的排放限值。此外，在新的NSPS子部分中，环保署正在最终确定拟议的修正案:增加工作实践，以尽量减少挥发性有机化合物的排放；修订塑料零件条款；更新捕获和控制装置以及相关的测试和监控要求；修订转换效率条款；新的测试方法和替代测试方法；修订记录保存和报告要求，包括增加电子报告；取消启动、关闭和故障期间的豁免；以及其他协调新的NSPS子部分和《汽车和轻型卡车表面涂层国家有害空气污染物排放标准》要求的修正案。环保署还最终确定了NSPS子部分MM中的拟议电子报告要求，适用于1979年10月5日之后和2022年5月18日或之前开始建设、建或改造的来源。</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6</w:t>
            </w:r>
          </w:p>
        </w:tc>
        <w:tc>
          <w:tcPr>
            <w:tcW w:w="12223" w:type="dxa"/>
            <w:vAlign w:val="center"/>
          </w:tcPr>
          <w:p>
            <w:pPr>
              <w:jc w:val="left"/>
              <w:rPr>
                <w:rFonts w:ascii="宋体" w:cs="宋体"/>
                <w:color w:val="000000"/>
                <w:sz w:val="22"/>
                <w:szCs w:val="22"/>
              </w:rPr>
            </w:pPr>
            <w:r>
              <w:rPr>
                <w:rFonts w:hint="eastAsia"/>
                <w:color w:val="000000"/>
                <w:sz w:val="22"/>
                <w:szCs w:val="22"/>
              </w:rPr>
              <w:t>最低标准——校车，拟议法规修正案——法规更新</w:t>
            </w:r>
            <w:r>
              <w:rPr>
                <w:color w:val="000000"/>
                <w:sz w:val="22"/>
                <w:szCs w:val="22"/>
              </w:rPr>
              <w:t>。</w:t>
            </w:r>
            <w:r>
              <w:rPr>
                <w:rFonts w:hint="eastAsia"/>
                <w:color w:val="000000"/>
                <w:sz w:val="22"/>
                <w:szCs w:val="22"/>
              </w:rPr>
              <w:t>旨在与联邦标准保持一致，反映当前的行业惯例，并纳入科罗拉多州学校学生载送专业人员的建议。此外，草案中纳入了各种“清理”措辞的改动，以澄清要求。G/TBT/N/USA/1969中通报的最初规章制定过程终止，因为联邦机动车安全标准已纳入法规草案。当标准被纳入法规时，科罗拉多州的监管机构必须遵守一套非常具体的要求。纳入的标准必须通过名称以及日期/版本进行标识，并且还必须包括对这些标准在哪里可以找到和查阅的解释。</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7</w:t>
            </w:r>
          </w:p>
        </w:tc>
        <w:tc>
          <w:tcPr>
            <w:tcW w:w="12223" w:type="dxa"/>
            <w:vAlign w:val="center"/>
          </w:tcPr>
          <w:p>
            <w:pPr>
              <w:jc w:val="left"/>
              <w:rPr>
                <w:rFonts w:ascii="宋体" w:cs="宋体"/>
                <w:color w:val="000000"/>
                <w:sz w:val="22"/>
                <w:szCs w:val="22"/>
              </w:rPr>
            </w:pPr>
            <w:r>
              <w:rPr>
                <w:rFonts w:hint="eastAsia"/>
                <w:color w:val="000000"/>
                <w:sz w:val="22"/>
                <w:szCs w:val="22"/>
              </w:rPr>
              <w:t>加利福尼亚州非道路发动机污染控制标准；小型越野发动机；授权请求；举行公开听证会和发表评议意见的机会</w:t>
            </w:r>
            <w:r>
              <w:rPr>
                <w:color w:val="000000"/>
                <w:sz w:val="22"/>
                <w:szCs w:val="22"/>
              </w:rPr>
              <w:t>，</w:t>
            </w:r>
            <w:r>
              <w:rPr>
                <w:rFonts w:hint="eastAsia"/>
                <w:color w:val="000000"/>
                <w:sz w:val="22"/>
                <w:szCs w:val="22"/>
              </w:rPr>
              <w:t xml:space="preserve">在2023年6月27日的通知和线上公开听证会上，加州空气资源委员会( CARB)已通知环保署其已通过关于其小型越野发动机法规的两修正案。在2022内容简述: 在2023年6月27日的通知和线上公开听证会上，加州空气资源委员会( CARB)已通知环保署其已通过关于其 小型越野发动机法规的两修正案。在2022年12月20日的信函中。CARB要求环保署根据《清洁空法》(Cean Air Act(CAA))第209(e)条授权这 些修正案。该通知宣布，环保署将举行公开听证会，审议加利福尼亚州的授权请求，并且环保罢现在正在认可对这些请求提出的书面评议意见。该通知宣布，环保署将举行公开听证会，审议加利福尼亚州的授权请求，并且环保罢现在正在认可对这些请求提出的书面评议意见。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8</w:t>
            </w:r>
          </w:p>
        </w:tc>
        <w:tc>
          <w:tcPr>
            <w:tcW w:w="12223" w:type="dxa"/>
            <w:vAlign w:val="center"/>
          </w:tcPr>
          <w:p>
            <w:pPr>
              <w:jc w:val="left"/>
              <w:rPr>
                <w:rFonts w:ascii="宋体" w:cs="宋体"/>
                <w:color w:val="000000"/>
                <w:sz w:val="22"/>
                <w:szCs w:val="22"/>
              </w:rPr>
            </w:pPr>
            <w:r>
              <w:rPr>
                <w:rFonts w:hint="eastAsia"/>
                <w:color w:val="000000"/>
                <w:sz w:val="22"/>
                <w:szCs w:val="22"/>
              </w:rPr>
              <w:t>收到数份针对各类商品的农药化学品残留提交的农药申请。关于提交申请和征求评议意见的通知。本文件宣布，环保署收到了数份首次提交的农药申请，要求制定或修改各类商品内/表的农药化学品残留的法规。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9</w:t>
            </w:r>
          </w:p>
        </w:tc>
        <w:tc>
          <w:tcPr>
            <w:tcW w:w="12223" w:type="dxa"/>
            <w:vAlign w:val="center"/>
          </w:tcPr>
          <w:p>
            <w:pPr>
              <w:jc w:val="left"/>
              <w:rPr>
                <w:rFonts w:ascii="宋体" w:cs="宋体"/>
                <w:color w:val="000000"/>
                <w:sz w:val="22"/>
                <w:szCs w:val="22"/>
              </w:rPr>
            </w:pPr>
            <w:r>
              <w:rPr>
                <w:rFonts w:hint="eastAsia"/>
                <w:color w:val="000000"/>
                <w:sz w:val="22"/>
                <w:szCs w:val="22"/>
              </w:rPr>
              <w:t>精甲霜灵；农药限量。最终法规。法规规定了精甲霜灵在多种商品/表的残留限量。</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巴西</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10</w:t>
            </w:r>
          </w:p>
        </w:tc>
        <w:tc>
          <w:tcPr>
            <w:tcW w:w="12223" w:type="dxa"/>
            <w:vAlign w:val="center"/>
          </w:tcPr>
          <w:p>
            <w:pPr>
              <w:jc w:val="left"/>
              <w:rPr>
                <w:rFonts w:ascii="宋体" w:cs="宋体"/>
                <w:color w:val="000000"/>
                <w:sz w:val="22"/>
                <w:szCs w:val="22"/>
              </w:rPr>
            </w:pPr>
            <w:r>
              <w:rPr>
                <w:rFonts w:hint="eastAsia"/>
                <w:color w:val="000000"/>
                <w:sz w:val="22"/>
                <w:szCs w:val="22"/>
              </w:rPr>
              <w:t>2023年5月18日第1167号决议草案。本决议草案拟将活性成分T81-TOLPIRALATE列入《农药、家庭清洁产品和木材防腐剂的活性成分专题清单》，该清单于2021年10月19日由《巴西官方公报》第103号规范指令公布。</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11</w:t>
            </w:r>
          </w:p>
        </w:tc>
        <w:tc>
          <w:tcPr>
            <w:tcW w:w="12223" w:type="dxa"/>
            <w:vAlign w:val="center"/>
          </w:tcPr>
          <w:p>
            <w:pPr>
              <w:jc w:val="left"/>
              <w:rPr>
                <w:rFonts w:ascii="宋体" w:cs="宋体"/>
                <w:color w:val="000000"/>
                <w:sz w:val="22"/>
                <w:szCs w:val="22"/>
              </w:rPr>
            </w:pPr>
            <w:r>
              <w:rPr>
                <w:rFonts w:hint="eastAsia"/>
                <w:color w:val="000000"/>
                <w:sz w:val="22"/>
                <w:szCs w:val="22"/>
              </w:rPr>
              <w:t>2023年5月10日第798号SDA法令——规定了生产和使用含兽药的动物饲养产品的最低标准和程序。规定了生产和使用含兽药的动物饲养产品的最低标准和程序。</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12</w:t>
            </w:r>
          </w:p>
        </w:tc>
        <w:tc>
          <w:tcPr>
            <w:tcW w:w="12223" w:type="dxa"/>
            <w:vAlign w:val="center"/>
          </w:tcPr>
          <w:p>
            <w:pPr>
              <w:jc w:val="left"/>
              <w:rPr>
                <w:rFonts w:ascii="宋体" w:cs="宋体"/>
                <w:color w:val="000000"/>
                <w:sz w:val="22"/>
                <w:szCs w:val="22"/>
              </w:rPr>
            </w:pPr>
            <w:r>
              <w:rPr>
                <w:rFonts w:hint="eastAsia"/>
                <w:color w:val="000000"/>
                <w:sz w:val="22"/>
                <w:szCs w:val="22"/>
              </w:rPr>
              <w:t>2023年5月18日第1164号决议草案。本决议草案拟将活性成分F76-FLUINDAPIR列入《农药、家庭清洁产品和木材防腐剂的活性成分专题清单》，该清单于2021年10月19日由《巴西官方公报》第103号规范指令公布。</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13</w:t>
            </w:r>
          </w:p>
        </w:tc>
        <w:tc>
          <w:tcPr>
            <w:tcW w:w="12223" w:type="dxa"/>
            <w:vAlign w:val="center"/>
          </w:tcPr>
          <w:p>
            <w:pPr>
              <w:jc w:val="left"/>
              <w:rPr>
                <w:rFonts w:ascii="宋体" w:cs="宋体"/>
                <w:color w:val="000000"/>
                <w:sz w:val="22"/>
                <w:szCs w:val="22"/>
              </w:rPr>
            </w:pPr>
            <w:r>
              <w:rPr>
                <w:rFonts w:hint="eastAsia"/>
                <w:color w:val="000000"/>
                <w:sz w:val="22"/>
                <w:szCs w:val="22"/>
              </w:rPr>
              <w:t>2023年5月18日第1166号决议草案。本决议草案拟将活性成分I33-IPFLUFENOQUIM列入《农药、家庭清洁产品和木材防腐剂的活性成分专题清单》，该清单于2021年10月19日由《巴西官方公报》第103号规范指令公布。</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14</w:t>
            </w:r>
          </w:p>
        </w:tc>
        <w:tc>
          <w:tcPr>
            <w:tcW w:w="12223" w:type="dxa"/>
            <w:vAlign w:val="center"/>
          </w:tcPr>
          <w:p>
            <w:pPr>
              <w:jc w:val="left"/>
              <w:rPr>
                <w:rFonts w:ascii="宋体" w:cs="宋体"/>
                <w:color w:val="000000"/>
                <w:sz w:val="22"/>
                <w:szCs w:val="22"/>
              </w:rPr>
            </w:pPr>
            <w:r>
              <w:rPr>
                <w:rFonts w:hint="eastAsia"/>
                <w:color w:val="000000"/>
                <w:sz w:val="22"/>
                <w:szCs w:val="22"/>
              </w:rPr>
              <w:t>2023年5月18日第1162号决议草案。本决议草案拟将活性成分I23 - IPBC专著作为对《农药、家庭清洁产品和木材防腐剂的活性成分专题清单》的修订提案，该清单于2021年10月19日由《巴西官方公报》第103号规范性指令发布。</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15</w:t>
            </w:r>
          </w:p>
        </w:tc>
        <w:tc>
          <w:tcPr>
            <w:tcW w:w="12223" w:type="dxa"/>
            <w:vAlign w:val="center"/>
          </w:tcPr>
          <w:p>
            <w:pPr>
              <w:jc w:val="left"/>
              <w:rPr>
                <w:rFonts w:ascii="宋体" w:cs="宋体"/>
                <w:color w:val="000000"/>
                <w:sz w:val="22"/>
                <w:szCs w:val="22"/>
              </w:rPr>
            </w:pPr>
            <w:r>
              <w:rPr>
                <w:rFonts w:hint="eastAsia"/>
                <w:color w:val="000000"/>
                <w:sz w:val="22"/>
                <w:szCs w:val="22"/>
              </w:rPr>
              <w:t>2023年5月25日第1168号决议草案。本决议草案拟将活性成分T82 - (Z)-9，13-TETRADECADIENAL列入《农药、家庭清洁产品和木材防腐剂的活性成分专题清单》，该清单于2021年10月19日由《巴西官方公报》第103号规范指令公布。</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16</w:t>
            </w:r>
          </w:p>
        </w:tc>
        <w:tc>
          <w:tcPr>
            <w:tcW w:w="12223" w:type="dxa"/>
            <w:vAlign w:val="center"/>
          </w:tcPr>
          <w:p>
            <w:pPr>
              <w:jc w:val="left"/>
              <w:rPr>
                <w:rFonts w:ascii="宋体" w:cs="宋体"/>
                <w:color w:val="000000"/>
                <w:sz w:val="22"/>
                <w:szCs w:val="22"/>
              </w:rPr>
            </w:pPr>
            <w:r>
              <w:rPr>
                <w:rFonts w:hint="eastAsia"/>
                <w:color w:val="000000"/>
                <w:sz w:val="22"/>
                <w:szCs w:val="22"/>
              </w:rPr>
              <w:t>2023年5月18日第806号SDA法令——规定了从哥斯达黎加进口嫣红蔓（Hypoestes phyllostachya）种子的植物检疫要求。规定了从哥斯达黎加进口嫣红蔓（Hypoestes phyllostachya）种子的植物检疫要求。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17</w:t>
            </w:r>
          </w:p>
        </w:tc>
        <w:tc>
          <w:tcPr>
            <w:tcW w:w="12223" w:type="dxa"/>
            <w:vAlign w:val="center"/>
          </w:tcPr>
          <w:p>
            <w:pPr>
              <w:jc w:val="left"/>
              <w:rPr>
                <w:rFonts w:ascii="宋体" w:cs="宋体"/>
                <w:color w:val="000000"/>
              </w:rPr>
            </w:pPr>
            <w:r>
              <w:rPr>
                <w:rFonts w:hint="eastAsia"/>
                <w:color w:val="000000"/>
              </w:rPr>
              <w:t>2023年5月22日第807号SDA法令——在有害生物风险分析审查之前，暂停从智利进口马铃薯（Solanum tuberosum）种薯。在有害生物风险分析审查之前，暂停从智利进口马铃薯（Solanum tuberosum）种薯。</w:t>
            </w:r>
          </w:p>
        </w:tc>
      </w:tr>
      <w:tr>
        <w:trPr>
          <w:trHeight w:val="641"/>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18</w:t>
            </w:r>
          </w:p>
        </w:tc>
        <w:tc>
          <w:tcPr>
            <w:tcW w:w="12223" w:type="dxa"/>
            <w:vAlign w:val="center"/>
          </w:tcPr>
          <w:p>
            <w:pPr>
              <w:jc w:val="left"/>
              <w:rPr>
                <w:rFonts w:ascii="宋体" w:cs="宋体"/>
                <w:color w:val="000000"/>
                <w:sz w:val="22"/>
                <w:szCs w:val="22"/>
              </w:rPr>
            </w:pPr>
            <w:r>
              <w:rPr>
                <w:rFonts w:hint="eastAsia"/>
                <w:color w:val="000000"/>
                <w:sz w:val="22"/>
                <w:szCs w:val="22"/>
              </w:rPr>
              <w:t>草案—规定了进口任何来源的三色堇种子（Eustoma spp.）的植物检疫要求。制定了进口任何来源的三色堇种子（第4类）的植物检疫要求。涵盖物种有角果堇菜（Viola cornuta）、杂交堇菜（Viola hybrida）、三色堇菜（Viola tricolor）和大花三色堇（Viola x wittrockiana）。</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19</w:t>
            </w:r>
          </w:p>
        </w:tc>
        <w:tc>
          <w:tcPr>
            <w:tcW w:w="12223" w:type="dxa"/>
            <w:vAlign w:val="center"/>
          </w:tcPr>
          <w:p>
            <w:pPr>
              <w:jc w:val="left"/>
              <w:rPr>
                <w:rFonts w:ascii="宋体" w:cs="宋体"/>
                <w:color w:val="000000"/>
                <w:sz w:val="22"/>
                <w:szCs w:val="22"/>
              </w:rPr>
            </w:pPr>
            <w:r>
              <w:rPr>
                <w:rFonts w:hint="eastAsia"/>
                <w:color w:val="000000"/>
                <w:sz w:val="22"/>
                <w:szCs w:val="22"/>
              </w:rPr>
              <w:t>草案—规定了从任何来源进口芝麻菜（Eruca Stiva）籽的植物检疫要求。制定了从任何来源进口芝麻菜（Eruca Stiva）籽（第4类）的植物检疫要求。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20</w:t>
            </w:r>
          </w:p>
        </w:tc>
        <w:tc>
          <w:tcPr>
            <w:tcW w:w="12223" w:type="dxa"/>
            <w:vAlign w:val="center"/>
          </w:tcPr>
          <w:p>
            <w:pPr>
              <w:jc w:val="left"/>
              <w:rPr>
                <w:rFonts w:ascii="宋体" w:cs="宋体"/>
                <w:color w:val="000000"/>
                <w:sz w:val="22"/>
                <w:szCs w:val="22"/>
              </w:rPr>
            </w:pPr>
            <w:r>
              <w:rPr>
                <w:rFonts w:hint="eastAsia"/>
                <w:color w:val="000000"/>
                <w:sz w:val="22"/>
                <w:szCs w:val="22"/>
              </w:rPr>
              <w:t>草案-从希腊进口猕猴桃（Actinidia chinensis）新鲜水果（第3类）的植物检疫要求。  制定了从希腊进口猕猴桃（Actinidia chinensis）新鲜水果（第3类）的植物检疫要求。托运货物必须附有希腊国家植物保护机构（NPPO）签发的植物检疫证书，以及以下附加声明：I 经检验，货物未发现桃条麦蛾、绵粉蚧、嗜桔粉蚧、黄金斑尺蛾和棕翅蓟马；AND II 在官方监督下，在0</w:t>
            </w:r>
            <w:r>
              <w:rPr>
                <w:rFonts w:ascii="宋体" w:eastAsia="宋体" w:hint="eastAsia"/>
                <w:color w:val="000000"/>
                <w:sz w:val="22"/>
                <w:szCs w:val="22"/>
              </w:rPr>
              <w:t>℃</w:t>
            </w:r>
            <w:r>
              <w:rPr>
                <w:rFonts w:hint="eastAsia"/>
                <w:color w:val="000000"/>
                <w:sz w:val="22"/>
                <w:szCs w:val="22"/>
              </w:rPr>
              <w:t>的温度下对货物进行为期14天的冷处理，以控制葡萄花翅小卷蛾虫和大型果树卷叶蛾。货物在入境点接受检验，并在官方实验室或经农业和畜牧业部（MAPA）认可的实验室收集样品进行植物检疫分析。寄送样品和植物检疫分析的费用将由相关方承担。 根据检验员的判断，在检查过程完成之前，相关方可以继续作为货物剩余部分的保管人。如果截获检疫性有害生物或对巴西有检疫潜力的有害生物，该批货物将被销毁或拒收，并通知希腊NPPO，在有害生物风险分析审查之前，巴西NPPO可暂停进口猕猴桃鲜果。当托运货物不符合本条例规定的要求时，不得将其内部消化。</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澳大利亚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21</w:t>
            </w:r>
          </w:p>
        </w:tc>
        <w:tc>
          <w:tcPr>
            <w:tcW w:w="12223" w:type="dxa"/>
            <w:vAlign w:val="center"/>
          </w:tcPr>
          <w:p>
            <w:pPr>
              <w:jc w:val="left"/>
              <w:rPr>
                <w:rFonts w:ascii="宋体" w:cs="宋体"/>
                <w:color w:val="000000"/>
                <w:sz w:val="22"/>
                <w:szCs w:val="22"/>
              </w:rPr>
            </w:pPr>
            <w:r>
              <w:rPr>
                <w:rFonts w:hint="eastAsia"/>
                <w:color w:val="000000"/>
                <w:sz w:val="22"/>
                <w:szCs w:val="22"/>
              </w:rPr>
              <w:t> 公共卫生（烟草和其他产品）法案，2023年（199页，英文）• 公共卫生（烟草和其他产品）条例，2023年（95页，英文） （共294页，英文）</w:t>
            </w:r>
            <w:r>
              <w:rPr>
                <w:color w:val="000000"/>
                <w:sz w:val="22"/>
                <w:szCs w:val="22"/>
              </w:rPr>
              <w:t>。</w:t>
            </w:r>
            <w:r>
              <w:rPr>
                <w:rFonts w:hint="eastAsia"/>
                <w:color w:val="000000"/>
                <w:sz w:val="22"/>
                <w:szCs w:val="22"/>
              </w:rPr>
              <w:t>拟议的立法将把现有的八项与烟草有关的法律、法规、文书和法院判决合并为一项单一、精简的议会法和相关法规。该法案包含7个章节，按专题介绍了拟议条款：第1章规定了初步事项，包括生效日期、法案目标、定义和关键概念。第2章规定了对烟草和电子烟广告和赞助的监管。这些规定是1992年《烟草广告禁止法》的合并，并扩大到也适用于电子烟的广告和促销。本章包括违法和民事处罚条款。第3章建立了强制执行烟草制品简易包装相关要求的制度。这些规定包括《2011年烟草普通包装法》的要求，以及与以下监管相关的拟议新要求：烟草制品的成分和产品设计特征；烟草制品的数量、重量或体积和定价；禁止使用可能暗示某些产品危害较小的术语；以及纳入健康促进插页。它允许制定法规，规定烟草制品外观、内容物和标准的简易包装要求和条件，包括可能需要出现在烟草制品上的劝阻措施。本章包括与处理不合规包装的行为有关的一系列罪行和民事处罚规定。第4章规定了对某些受管制烟草制品的永久禁令。本章便于部长根据《1974年贸易惯例法》—1991年第10号消费者保护通知—《永久货物禁令》中的现有禁令，对口用嚼烟和鼻烟实施永久禁令。本章包括违法和民事处罚条款。第5章规定了新的报告要求。根据定义，报告实体必须提交包含澳大利亚销售、供应或要约销售或供应烟草制品信息的报告，并报告广告、促销和赞助活动及支出。还将要求制造商报告研发活动。第6章载有合规和执行规定。本章规定了授权官员的任命以及辅助监测和调查的权力，同时还规定了民事罚款条款，发布侵权通知、可执行的承诺和禁令的条款。第7章载有杂项规定，包括与授权和宪法条款有关的规定。</w:t>
            </w:r>
          </w:p>
        </w:tc>
      </w:tr>
      <w:tr>
        <w:trPr>
          <w:trHeight w:val="90"/>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22</w:t>
            </w:r>
          </w:p>
        </w:tc>
        <w:tc>
          <w:tcPr>
            <w:tcW w:w="12223" w:type="dxa"/>
            <w:vAlign w:val="center"/>
          </w:tcPr>
          <w:p>
            <w:pPr>
              <w:jc w:val="left"/>
              <w:rPr>
                <w:rFonts w:ascii="宋体" w:cs="宋体"/>
                <w:color w:val="000000"/>
                <w:sz w:val="22"/>
                <w:szCs w:val="22"/>
              </w:rPr>
            </w:pPr>
            <w:r>
              <w:rPr>
                <w:rFonts w:hint="eastAsia"/>
                <w:color w:val="000000"/>
                <w:sz w:val="22"/>
                <w:szCs w:val="22"/>
              </w:rPr>
              <w:t>各国输澳供人类食用对虾生物安全风险审查——最终报告，澳大利亚政府农业、渔业和林业部已发布最终报告，关于“各国输澳供人类食用对虾生物安全风险审查”（对虾审查），以及澳大利亚关于对虾和对虾制品的进口条件的拟议变更。对虾审查的最终报告可在农业、渔业和林业部网站上查阅：对虾和对虾制品的审查——农业、林业和渔业部（DAFF）。在考虑了科学咨询组成员对报告草案和临时最终报告的建议、所有利益相关方的反馈，以及所有可用的科学信息后，农业、林业和渔业部发布了对虾审查的最终报告。最终报告建议，在遵守一系列经修订的生物安全措施的前提下，继续允许对虾输澳。这些措施包括对出口到澳大利亚的整只未经熟制对虾进行冷冻，使其不含其他病原体，以及加强对熟制对虾的要求。贸易伙伴可在2023年8月4日之前（60天的评议期）向农业、林业和渔业部提供关于拟议要求的书面评议意见。在审议评议意见之前，农业、林业和渔业部将要求自2023年10月13日起抵达澳大利亚的对虾和对虾制品由出口国主管当局进行认证，以满足修订后的卫生认证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23</w:t>
            </w:r>
          </w:p>
        </w:tc>
        <w:tc>
          <w:tcPr>
            <w:tcW w:w="12223" w:type="dxa"/>
            <w:vAlign w:val="center"/>
          </w:tcPr>
          <w:p>
            <w:pPr>
              <w:jc w:val="left"/>
              <w:rPr>
                <w:rFonts w:ascii="宋体" w:cs="宋体"/>
                <w:color w:val="000000"/>
                <w:sz w:val="22"/>
                <w:szCs w:val="22"/>
              </w:rPr>
            </w:pPr>
            <w:r>
              <w:rPr>
                <w:rFonts w:hint="eastAsia"/>
                <w:color w:val="000000"/>
                <w:sz w:val="22"/>
                <w:szCs w:val="22"/>
              </w:rPr>
              <w:t>审议获批准的国家马匹患乙型脑炎的风险——报告草案。澳大利亚政府农业、渔业和林业部审议了与马匹患乙型脑炎的风险有关的生物安全风险。审议草案现已定稿，该部门特邀贸易合作伙伴和利益相关者在2023年8月21日前对审议草案发表评议意见。获批准向澳大利亚出口马匹的国家可继续贸易。</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厄瓜多尔</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24</w:t>
            </w:r>
          </w:p>
        </w:tc>
        <w:tc>
          <w:tcPr>
            <w:tcW w:w="12223" w:type="dxa"/>
            <w:vAlign w:val="center"/>
          </w:tcPr>
          <w:p>
            <w:pPr>
              <w:jc w:val="left"/>
              <w:rPr>
                <w:rFonts w:ascii="宋体" w:cs="宋体"/>
                <w:color w:val="000000"/>
                <w:sz w:val="22"/>
                <w:szCs w:val="22"/>
              </w:rPr>
            </w:pPr>
            <w:r>
              <w:rPr>
                <w:rFonts w:hint="eastAsia"/>
                <w:color w:val="000000"/>
                <w:sz w:val="22"/>
                <w:szCs w:val="22"/>
              </w:rPr>
              <w:t xml:space="preserve">第0402号决议规定了从危地马拉进口美洲石竹种子的强制性植物检疫要求，进口危地马拉播种用美洲石竹种子的强制性植物检疫要求。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25</w:t>
            </w:r>
          </w:p>
        </w:tc>
        <w:tc>
          <w:tcPr>
            <w:tcW w:w="12223" w:type="dxa"/>
            <w:vAlign w:val="center"/>
          </w:tcPr>
          <w:p>
            <w:pPr>
              <w:jc w:val="left"/>
              <w:rPr>
                <w:rFonts w:ascii="宋体" w:cs="宋体"/>
                <w:color w:val="000000"/>
                <w:sz w:val="22"/>
                <w:szCs w:val="22"/>
              </w:rPr>
            </w:pPr>
            <w:r>
              <w:rPr>
                <w:rFonts w:hint="eastAsia"/>
                <w:color w:val="000000"/>
                <w:sz w:val="22"/>
                <w:szCs w:val="22"/>
              </w:rPr>
              <w:t>第0403号决议规定了从智利进口种植用裸根蓝莓植物的强制性植物检疫要求。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26</w:t>
            </w:r>
          </w:p>
        </w:tc>
        <w:tc>
          <w:tcPr>
            <w:tcW w:w="12223" w:type="dxa"/>
            <w:vAlign w:val="center"/>
          </w:tcPr>
          <w:p>
            <w:pPr>
              <w:jc w:val="left"/>
              <w:rPr>
                <w:rFonts w:ascii="宋体" w:cs="宋体"/>
                <w:color w:val="000000"/>
                <w:sz w:val="22"/>
                <w:szCs w:val="22"/>
              </w:rPr>
            </w:pPr>
            <w:r>
              <w:rPr>
                <w:rFonts w:hint="eastAsia"/>
                <w:color w:val="000000"/>
                <w:sz w:val="22"/>
                <w:szCs w:val="22"/>
              </w:rPr>
              <w:t>第0400号决议，旨在规定从智利进口基质蓝莓植物的强制性植物检疫要求。从智利进口种植基质蓝莓植物的强制性植物检疫要求。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27</w:t>
            </w:r>
          </w:p>
        </w:tc>
        <w:tc>
          <w:tcPr>
            <w:tcW w:w="12223" w:type="dxa"/>
            <w:vAlign w:val="center"/>
          </w:tcPr>
          <w:p>
            <w:pPr>
              <w:jc w:val="left"/>
              <w:rPr>
                <w:rFonts w:ascii="宋体" w:cs="宋体"/>
                <w:color w:val="000000"/>
                <w:sz w:val="22"/>
                <w:szCs w:val="22"/>
              </w:rPr>
            </w:pPr>
            <w:r>
              <w:rPr>
                <w:rFonts w:hint="eastAsia"/>
                <w:color w:val="000000"/>
                <w:sz w:val="22"/>
                <w:szCs w:val="22"/>
              </w:rPr>
              <w:t>规定了原产于乌拉圭的播种用燕麦(Avena spp.) 种子进口的强制性植物检疫要求的第0019号决议。原产于乌拉圭的播种用燕麦(Avena spp.) 种子进口的强制性植物检疫要求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28</w:t>
            </w:r>
          </w:p>
        </w:tc>
        <w:tc>
          <w:tcPr>
            <w:tcW w:w="12223" w:type="dxa"/>
            <w:vAlign w:val="center"/>
          </w:tcPr>
          <w:p>
            <w:pPr>
              <w:jc w:val="left"/>
              <w:rPr>
                <w:rFonts w:ascii="宋体" w:cs="宋体"/>
                <w:color w:val="000000"/>
                <w:sz w:val="22"/>
                <w:szCs w:val="22"/>
              </w:rPr>
            </w:pPr>
            <w:r>
              <w:rPr>
                <w:rFonts w:hint="eastAsia"/>
                <w:color w:val="000000"/>
                <w:sz w:val="22"/>
                <w:szCs w:val="22"/>
              </w:rPr>
              <w:t>第0003号决议规定了从危地马拉进口播种用甜椒种子的强制性植物检疫要求。危地马拉进口播种用甜椒种子的强制性植物检疫要求。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29</w:t>
            </w:r>
          </w:p>
        </w:tc>
        <w:tc>
          <w:tcPr>
            <w:tcW w:w="12223" w:type="dxa"/>
            <w:vAlign w:val="center"/>
          </w:tcPr>
          <w:p>
            <w:pPr>
              <w:jc w:val="left"/>
              <w:rPr>
                <w:rFonts w:ascii="宋体" w:cs="宋体"/>
                <w:color w:val="000000"/>
                <w:sz w:val="22"/>
                <w:szCs w:val="22"/>
              </w:rPr>
            </w:pPr>
            <w:r>
              <w:rPr>
                <w:rFonts w:hint="eastAsia"/>
                <w:color w:val="000000"/>
                <w:sz w:val="22"/>
                <w:szCs w:val="22"/>
              </w:rPr>
              <w:t>规定了原产于菲律宾的播种用番木瓜（Carica papaya）种子进口的强制性植物检疫要求的第0043号决议。本通报文本规定了原产于菲律宾的播种用番木瓜（Carica papaya）种子进口的强制性植物检疫要求。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30</w:t>
            </w:r>
          </w:p>
        </w:tc>
        <w:tc>
          <w:tcPr>
            <w:tcW w:w="12223" w:type="dxa"/>
            <w:vAlign w:val="center"/>
          </w:tcPr>
          <w:p>
            <w:pPr>
              <w:jc w:val="left"/>
              <w:rPr>
                <w:rFonts w:ascii="宋体" w:cs="宋体"/>
                <w:color w:val="000000"/>
                <w:sz w:val="22"/>
                <w:szCs w:val="22"/>
              </w:rPr>
            </w:pPr>
            <w:r>
              <w:rPr>
                <w:rFonts w:hint="eastAsia"/>
                <w:color w:val="000000"/>
                <w:sz w:val="22"/>
                <w:szCs w:val="22"/>
              </w:rPr>
              <w:t>第0020号决议-规定了从巴西进口播种用蓖麻油种子的强制性植物检疫要求。关于从巴西进口播种用蓖麻油种子的植物检疫要求。2022年2月27日第0020号法规。</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韩国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31</w:t>
            </w:r>
          </w:p>
        </w:tc>
        <w:tc>
          <w:tcPr>
            <w:tcW w:w="12223" w:type="dxa"/>
            <w:vAlign w:val="center"/>
          </w:tcPr>
          <w:p>
            <w:pPr>
              <w:jc w:val="left"/>
              <w:rPr>
                <w:rFonts w:ascii="宋体" w:cs="宋体"/>
                <w:color w:val="000000"/>
                <w:sz w:val="22"/>
                <w:szCs w:val="22"/>
              </w:rPr>
            </w:pPr>
            <w:r>
              <w:rPr>
                <w:rFonts w:hint="eastAsia"/>
                <w:color w:val="000000"/>
                <w:sz w:val="22"/>
                <w:szCs w:val="22"/>
              </w:rPr>
              <w:t>《机动车辆能源效率和分级标签条例》的拟议修订。a)制定电动车辆能源效率分级报告和标签要求；b )取消受能源效率和分级标签约束的乘用车的总重量条件；</w:t>
            </w:r>
            <w:r>
              <w:rPr>
                <w:color w:val="000000"/>
                <w:sz w:val="22"/>
                <w:szCs w:val="22"/>
              </w:rPr>
              <w:t>c</w:t>
            </w:r>
            <w:r>
              <w:rPr>
                <w:rFonts w:hint="eastAsia"/>
                <w:color w:val="000000"/>
                <w:sz w:val="22"/>
                <w:szCs w:val="22"/>
              </w:rPr>
              <w:t xml:space="preserve">)改进车辆能源效率及分级标签设计；d )编制车辆能源效率报告时签发的证书模板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32</w:t>
            </w:r>
          </w:p>
        </w:tc>
        <w:tc>
          <w:tcPr>
            <w:tcW w:w="12223" w:type="dxa"/>
            <w:vAlign w:val="center"/>
          </w:tcPr>
          <w:p>
            <w:pPr>
              <w:jc w:val="left"/>
              <w:rPr>
                <w:rFonts w:ascii="宋体" w:cs="宋体"/>
                <w:color w:val="000000"/>
                <w:sz w:val="22"/>
                <w:szCs w:val="22"/>
              </w:rPr>
            </w:pPr>
            <w:r>
              <w:rPr>
                <w:rFonts w:hint="eastAsia"/>
                <w:color w:val="000000"/>
                <w:sz w:val="22"/>
                <w:szCs w:val="22"/>
              </w:rPr>
              <w:t>电磁兼容性技术法规修正案草案，本法规规定了电动汽车无线电能传输设备的技术规范。本法规包括对《广播和通信设备合格评定》通报的修订，该通报新确定了电动汽车和运输电气装置的无线电力传输设备，适用于设备主体。本法规包括对《广播和通信设备测试机构的指定和管理》通报附件1的修订，该附件1在测试项目中新增了电动汽车和运输电气装置的无线电力传输设备</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加拿大</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33</w:t>
            </w:r>
          </w:p>
        </w:tc>
        <w:tc>
          <w:tcPr>
            <w:tcW w:w="12223" w:type="dxa"/>
            <w:vAlign w:val="center"/>
          </w:tcPr>
          <w:p>
            <w:pPr>
              <w:jc w:val="left"/>
              <w:rPr>
                <w:rFonts w:ascii="宋体" w:cs="宋体"/>
                <w:color w:val="000000"/>
                <w:sz w:val="22"/>
                <w:szCs w:val="22"/>
              </w:rPr>
            </w:pPr>
            <w:r>
              <w:rPr>
                <w:rFonts w:hint="eastAsia"/>
                <w:color w:val="000000"/>
                <w:sz w:val="22"/>
                <w:szCs w:val="22"/>
              </w:rPr>
              <w:t>拟定最大残留限量：螺螨甲酯（PMRL2023-32）。通报文件PMRL2023-32的目的是就加拿大卫生部有害生物管理局（PMRA）拟定的螺螨甲酯的最大残留限量（MRL）进行咨询。最大残留限量（ppm）1 未经加工的农产品（RAC）和/或加工商品1.0 大葱（作物亚组3-07B）1 ppm=百万分之一。</w:t>
            </w:r>
          </w:p>
        </w:tc>
      </w:tr>
      <w:tr>
        <w:trPr>
          <w:trHeight w:val="90"/>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34</w:t>
            </w:r>
          </w:p>
        </w:tc>
        <w:tc>
          <w:tcPr>
            <w:tcW w:w="12223" w:type="dxa"/>
            <w:vAlign w:val="center"/>
          </w:tcPr>
          <w:p>
            <w:pPr>
              <w:jc w:val="left"/>
              <w:rPr>
                <w:rFonts w:ascii="宋体" w:cs="宋体"/>
                <w:color w:val="000000"/>
                <w:sz w:val="22"/>
                <w:szCs w:val="22"/>
              </w:rPr>
            </w:pPr>
            <w:r>
              <w:rPr>
                <w:rFonts w:hint="eastAsia"/>
                <w:color w:val="000000"/>
                <w:sz w:val="22"/>
                <w:szCs w:val="22"/>
              </w:rPr>
              <w:t>拟定最大残留限量：丁氟螨酯（PMRL 2023-30）。报文件PMRL2023-30的目的是就加拿大卫生部有害生物管理局（PMRA）拟定的丁氟螨酯的最大残留限量（MRL）进行咨询。最大残留限量（ppm）1 未经加工的农产品（RAC）和/或加工商品 30 啤酒花（干球果）1.5 樱桃（作物亚组12-09A）0.4 桃（作物亚组12-09B）0.3 李子（作物亚组12-09C）1 ppm=百万分之一。</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35</w:t>
            </w:r>
          </w:p>
        </w:tc>
        <w:tc>
          <w:tcPr>
            <w:tcW w:w="12223" w:type="dxa"/>
            <w:vAlign w:val="center"/>
          </w:tcPr>
          <w:p>
            <w:pPr>
              <w:jc w:val="left"/>
              <w:rPr>
                <w:rFonts w:ascii="宋体" w:cs="宋体"/>
                <w:color w:val="000000"/>
                <w:sz w:val="22"/>
                <w:szCs w:val="22"/>
              </w:rPr>
            </w:pPr>
            <w:r>
              <w:rPr>
                <w:rFonts w:hint="eastAsia"/>
                <w:color w:val="000000"/>
                <w:sz w:val="22"/>
                <w:szCs w:val="22"/>
              </w:rPr>
              <w:t>拟定最大残留限量：氯化苦（PMRL2023-31）。报文件PMRL2023-31的目的是就加拿大卫生部有害生物管理局（PMRA）拟定的氯化苦的最大残留限量（MRL）进行咨询。最大残留限量（ppm）1 未经加工的农产品（RAC）和/或加工商品 0.025 杆、茎和叶柄（作物组22）2 1 ppm=百万分之一 2 建议将目前确定的芦笋、刺菜蓟、芹菜、莴笋、香芹、新鲜甜茴香叶和杆、球茎甘蓝和大黄内/表面的最大残留限量0.025 ppm改为单一作物组22的最大残留限量。这就产生了单一最大残留限量，可适用于作物组22内的所有商品。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36</w:t>
            </w:r>
          </w:p>
        </w:tc>
        <w:tc>
          <w:tcPr>
            <w:tcW w:w="12223" w:type="dxa"/>
            <w:vAlign w:val="center"/>
          </w:tcPr>
          <w:p>
            <w:pPr>
              <w:jc w:val="left"/>
              <w:rPr>
                <w:rFonts w:ascii="宋体" w:cs="宋体"/>
                <w:color w:val="000000"/>
                <w:sz w:val="22"/>
                <w:szCs w:val="22"/>
              </w:rPr>
            </w:pPr>
            <w:r>
              <w:rPr>
                <w:rFonts w:hint="eastAsia"/>
                <w:color w:val="000000"/>
                <w:sz w:val="22"/>
                <w:szCs w:val="22"/>
              </w:rPr>
              <w:t>拟定最大残留限量：灭螨醌（PMRL2023-33）。通报文件PMRL2023-33的目的是就加拿大卫生部有害生物管理局（PMRA）拟定的灭螨醌的最大残留限量（MRL）进行咨询。最大残留限量（ppm）1 未经加工的农产品（RAC）和/或加工商品 3.0 灌木类浆果（作物亚组13-07B） 1 ppm=百万分之一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肯尼亚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37</w:t>
            </w:r>
          </w:p>
        </w:tc>
        <w:tc>
          <w:tcPr>
            <w:tcW w:w="12223" w:type="dxa"/>
            <w:vAlign w:val="center"/>
          </w:tcPr>
          <w:p>
            <w:pPr>
              <w:jc w:val="left"/>
              <w:rPr>
                <w:rFonts w:ascii="宋体" w:cs="宋体"/>
                <w:color w:val="000000"/>
                <w:sz w:val="22"/>
                <w:szCs w:val="22"/>
              </w:rPr>
            </w:pPr>
            <w:r>
              <w:rPr>
                <w:rFonts w:hint="eastAsia"/>
                <w:color w:val="000000"/>
                <w:sz w:val="22"/>
                <w:szCs w:val="22"/>
              </w:rPr>
              <w:t>DEAS 781:2023</w:t>
            </w:r>
            <w:r>
              <w:rPr>
                <w:color w:val="000000"/>
                <w:sz w:val="22"/>
                <w:szCs w:val="22"/>
              </w:rPr>
              <w:t>，《</w:t>
            </w:r>
            <w:r>
              <w:rPr>
                <w:rFonts w:hint="eastAsia"/>
                <w:color w:val="000000"/>
                <w:sz w:val="22"/>
                <w:szCs w:val="22"/>
              </w:rPr>
              <w:t>东非饼干标准草案》 </w:t>
            </w:r>
            <w:r>
              <w:rPr>
                <w:color w:val="000000"/>
                <w:sz w:val="22"/>
                <w:szCs w:val="22"/>
              </w:rPr>
              <w:t>。</w:t>
            </w:r>
            <w:r>
              <w:rPr>
                <w:rFonts w:hint="eastAsia"/>
                <w:color w:val="000000"/>
                <w:sz w:val="22"/>
                <w:szCs w:val="22"/>
              </w:rPr>
              <w:t>本东非标准草案规定了供人类食用的饼干的要求、抽样和试验方法。本标准还涵盖威化饼干和曲奇饼干。</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38</w:t>
            </w:r>
          </w:p>
        </w:tc>
        <w:tc>
          <w:tcPr>
            <w:tcW w:w="12223" w:type="dxa"/>
            <w:vAlign w:val="center"/>
          </w:tcPr>
          <w:p>
            <w:pPr>
              <w:jc w:val="left"/>
              <w:rPr>
                <w:rFonts w:ascii="宋体" w:cs="宋体"/>
                <w:color w:val="000000"/>
                <w:sz w:val="22"/>
                <w:szCs w:val="22"/>
              </w:rPr>
            </w:pPr>
            <w:r>
              <w:rPr>
                <w:rFonts w:hint="eastAsia"/>
                <w:color w:val="000000"/>
                <w:sz w:val="22"/>
                <w:szCs w:val="22"/>
              </w:rPr>
              <w:t>DEAS 173:2023，《东非面食产品标准草案》。本东非标准草案规定了从小麦粉（硬质小麦、普通小麦、紧凑型小麦）或任何其他适合人类食用的面粉中提取的面食产品的要求、取样和检测方法。本标准适用于以下面食产品，如通心粉、意大利面条、意式细面、面条、短切面、千层面、强化面和类似产品。</w:t>
            </w:r>
          </w:p>
        </w:tc>
      </w:tr>
      <w:tr>
        <w:tc>
          <w:tcPr>
            <w:tcW w:w="1384" w:type="dxa"/>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墨西哥</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39</w:t>
            </w:r>
          </w:p>
        </w:tc>
        <w:tc>
          <w:tcPr>
            <w:tcW w:w="12223" w:type="dxa"/>
            <w:vAlign w:val="center"/>
          </w:tcPr>
          <w:p>
            <w:pPr>
              <w:jc w:val="left"/>
              <w:rPr>
                <w:rFonts w:ascii="宋体" w:cs="宋体"/>
                <w:color w:val="000000"/>
                <w:sz w:val="22"/>
                <w:szCs w:val="22"/>
              </w:rPr>
            </w:pPr>
            <w:r>
              <w:rPr>
                <w:rFonts w:hint="eastAsia"/>
                <w:color w:val="000000"/>
                <w:sz w:val="22"/>
                <w:szCs w:val="22"/>
              </w:rPr>
              <w:t>进口原产于哥伦比亚的精米（Oryza sativa）适用的植物检疫要求。关于原产于自哥伦比亚用于消费及/或工业用途精米（Oryza sativa）进口至墨西哥适用的植物检疫要求的通报草案，由SENASICA根据《实施卫生与植物卫生措施协定》（SPS协定）进行有害生物风险分析后确定。</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欧盟</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40</w:t>
            </w:r>
          </w:p>
        </w:tc>
        <w:tc>
          <w:tcPr>
            <w:tcW w:w="12223" w:type="dxa"/>
            <w:vAlign w:val="center"/>
          </w:tcPr>
          <w:p>
            <w:pPr>
              <w:jc w:val="left"/>
              <w:rPr>
                <w:rFonts w:ascii="宋体" w:cs="宋体"/>
                <w:color w:val="000000"/>
                <w:sz w:val="22"/>
                <w:szCs w:val="22"/>
              </w:rPr>
            </w:pPr>
            <w:r>
              <w:rPr>
                <w:rFonts w:hint="eastAsia"/>
                <w:color w:val="000000"/>
                <w:sz w:val="22"/>
                <w:szCs w:val="22"/>
              </w:rPr>
              <w:t>根据欧洲议会和欧盟理事会（EU）第528/2012号法规，批准将硫燃烧产生的二氧化硫作为活性物质用于第4类杀生物剂产品的委员会执行法规草案；本委员会执行法规草案批准将硫燃烧产生的二氧化硫作为活性物质用于第4类杀生物剂产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41</w:t>
            </w:r>
          </w:p>
        </w:tc>
        <w:tc>
          <w:tcPr>
            <w:tcW w:w="12223" w:type="dxa"/>
            <w:vAlign w:val="center"/>
          </w:tcPr>
          <w:p>
            <w:pPr>
              <w:jc w:val="left"/>
              <w:rPr>
                <w:rFonts w:ascii="宋体" w:cs="宋体"/>
                <w:color w:val="000000"/>
                <w:sz w:val="22"/>
                <w:szCs w:val="22"/>
              </w:rPr>
            </w:pPr>
            <w:r>
              <w:rPr>
                <w:rFonts w:hint="eastAsia"/>
                <w:color w:val="000000"/>
                <w:sz w:val="22"/>
                <w:szCs w:val="22"/>
              </w:rPr>
              <w:t>盟委员会2023年6月8日关于防止草地贪夜蛾（Spodoptera frugiperda，Smith）传入、定殖和在欧盟境内传播的第2023/1134号执行法规，修订了第2019/2072号执行法规，并废除了第2018/638号执行决议。针对草地贪夜蛾（Spodoptera frugiperda，Smith）制定了紧急进口要求。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42</w:t>
            </w:r>
          </w:p>
        </w:tc>
        <w:tc>
          <w:tcPr>
            <w:tcW w:w="12223" w:type="dxa"/>
            <w:vAlign w:val="center"/>
          </w:tcPr>
          <w:p>
            <w:pPr>
              <w:jc w:val="left"/>
              <w:rPr>
                <w:rFonts w:ascii="宋体" w:cs="宋体"/>
                <w:color w:val="000000"/>
                <w:sz w:val="22"/>
                <w:szCs w:val="22"/>
              </w:rPr>
            </w:pPr>
            <w:r>
              <w:rPr>
                <w:rFonts w:hint="eastAsia"/>
                <w:color w:val="000000"/>
                <w:sz w:val="22"/>
                <w:szCs w:val="22"/>
              </w:rPr>
              <w:t>修订欧洲议会和欧盟理事会（EC）第396/2005号法规附件II和附件V的欧盟委员会法规草案，涉及某些产品中或产品上（Z）-13-十六烯-11-炔-1-基乙酸酯、（Z，Z，Z，Z）-7，13，16，19-二十二碳四烯-1-基异尿酸酯、丙烯腈、氮磺隆、恶唑菌酮、甲基壬基酮、咪鲜胺和次氯酸钠的最大残留量（与欧洲经济区相关的文本）拟议法规草案涉及更新某些食品中（Z）-13-十六烯-11-炔-1-基乙酸酯、（Z，Z，Z，Z）-7，13，16，19-二十二碳四烯-1-基异尿酸酯、丙烯腈、氮磺隆、恶唑菌酮、甲基壬基酮、咪鲜胺和次氯酸钠的现有最大残留限量。对这些物质在某些商品中的最大残留限量进行了变更。由于该活性物质的使用批准已过期，在删除欧盟不再授权的旧用途后，设定了较低的最大残留限量。</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43</w:t>
            </w:r>
          </w:p>
        </w:tc>
        <w:tc>
          <w:tcPr>
            <w:tcW w:w="12223" w:type="dxa"/>
            <w:vAlign w:val="center"/>
          </w:tcPr>
          <w:p>
            <w:pPr>
              <w:jc w:val="left"/>
              <w:rPr>
                <w:rFonts w:ascii="宋体" w:cs="宋体"/>
                <w:color w:val="000000"/>
                <w:sz w:val="22"/>
                <w:szCs w:val="22"/>
              </w:rPr>
            </w:pPr>
            <w:r>
              <w:rPr>
                <w:rFonts w:hint="eastAsia"/>
                <w:color w:val="000000"/>
                <w:sz w:val="22"/>
                <w:szCs w:val="22"/>
              </w:rPr>
              <w:t>2023年5月25日欧盟委员会（EU）第2023/1032号执行法规，规定了防止番茄褐色皱纹果病毒（ToBRFV）传入和在欧盟境内传播的措施，并修订了（EU）第2020/1191号执行法规。针对番茄褐色皱纹果病毒制定了进口要求和内部措施。</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44</w:t>
            </w:r>
          </w:p>
        </w:tc>
        <w:tc>
          <w:tcPr>
            <w:tcW w:w="12223" w:type="dxa"/>
            <w:vAlign w:val="center"/>
          </w:tcPr>
          <w:p>
            <w:pPr>
              <w:jc w:val="left"/>
              <w:rPr>
                <w:rFonts w:ascii="宋体" w:cs="宋体"/>
                <w:color w:val="000000"/>
                <w:sz w:val="22"/>
                <w:szCs w:val="22"/>
              </w:rPr>
            </w:pPr>
            <w:r>
              <w:rPr>
                <w:rFonts w:hint="eastAsia"/>
                <w:color w:val="000000"/>
                <w:sz w:val="22"/>
                <w:szCs w:val="22"/>
              </w:rPr>
              <w:t>欧盟委员会2023年6月6日（EU）第2023/1110号执行法规，修订了关于临时增加对从某些第三国进入欧盟的某些货物的官方控制和紧急措施的（EU）第2019/1793号执行法规；以及修订了欧洲议会和欧盟理事会（EU）第2017/625号和（EC）第178/2002号执行法规（与欧洲经济区有关的文本）。（EU）第2019/1793号法规规定了关于从某些第三国进入欧盟时临时加强对某些非动物源性食品和饲料的官方控制（见附件I）；由于黄曲霉毒素、农药残留、五氯苯酚和二恶英的污染风险以及微生物污染，从某些第三国进口某些食品和饲料实行特殊条件（见附件II——加强的官方边境管制和官方证书，附有第三国的抽样和分析结果）。本执行法规对（EU）第2019/1793号执行法规附件I和附件II进行了修订，引入了以下变更内容：1.  措施/新措施的修改：•  将埃及的释迦果（Annonna squamosa）、墨西哥的青木瓜（Carica papaya）、印度的小茴香籽（因为有被农药残留污染的风险）以及叙利亚的芝麻籽中的tahini和halva（因为有被沙门氏菌污染的风险）列入附件I；•  将尼日利亚的西瓜（Egusi，Citrullus spp.）种子和衍生产品、塞内加尔的落花生和落花生制品、刺槐豆（角豆）、未去皮、压碎或磨碎的刺槐豆种子以及马来西亚的刺槐豆或刺槐豆种子和以其他方式从乌兹别克斯坦制备或保藏的杏干和杏子的粘液和增稠剂（无论是否改性）从附件一（因此也从法规）中删除； •    将多米尼加共和国的甜椒（Capsicum annuum）和辣椒属的辣椒（甜椒除外）、巴基斯坦的辣椒属的辣椒（甜椒除外）（因为有被农药残留污染的风险）、冈比亚的落花生和落花生制品、印度的辣椒属的辣椒（甜椒或非甜椒）、苏丹的落花生和落花生制品（因为有被黄曲霉毒素污染的风险）、刺槐豆（角豆）、未去皮、压碎或磨碎的刺槐豆种子以及取自印度刺槐豆或刺槐豆种子和瓜尔胶的粘液和增稠剂（无论是否改性）、韩国的含香料/调味料或酱料的方便面、刺槐豆（角豆）、未去皮、压碎或磨碎的刺槐种子以及取自土耳其刺槐豆或刺槐豆种子的粘液和增稠剂（无论是否改性）、越南的含香料/调味料或酱料的方便面（因为有被五氯酚和二恶英污染的风险）的污染从附件II中删除并列入附件I；•   因为以下项目有被农药残留污染的风险，需要增加附件I中规定的特征和实物检查频率：埃及的甜椒（Capsicum annuum）、辣椒属（甜椒除外）和橙子（从20%增加到30%）、印度的辣木（Moringa oleifera）（从10%增加到20%）、大米（从5%增加到10%）和番石榴（Psidium guajava）（从20%增加到30%）、斯里兰卡的积雪草（Centella asiatica）和莲子草（Alternanthera sessilis）（从30%增加到50%）、土耳其的石榴（从20%增加到30%）；•  因为有被氰化物污染的风险，将土耳其未经加工的杏仁从附件I中移除并列入附件II；•  因为有被黄曲霉毒素污染的风险，需要增加附件II中规定的对埃及落花生和落花生制品的特征和实物检查频率（从20%增加到30%），以及因为有被农药残留污染的风险，需要增加对土耳其橙子的特征和实物检查频率（从20%增加到30%）；•  因为有被黄曲霉毒素污染的风险，将原产于美国并从土耳其发运的开心果及其衍生产品（（检查频率为）50%）列入附件II。2.   现有措施的技术调整：•  将附件II表1中有关以其他方式制备或保藏的落花生（花生）条目中，在玻利维亚的落花生和衍生产品中加入“包括混合物”和相应的CN编码；•  删除附件II表1中印度芝麻籽与沙门氏菌有关的条目中的“饲料”类别；• 附件II表1中增加了对印度碳酸钙CN编码的更正和细分。</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45</w:t>
            </w:r>
          </w:p>
        </w:tc>
        <w:tc>
          <w:tcPr>
            <w:tcW w:w="12223" w:type="dxa"/>
            <w:vAlign w:val="center"/>
          </w:tcPr>
          <w:p>
            <w:pPr>
              <w:jc w:val="left"/>
              <w:rPr>
                <w:rFonts w:ascii="宋体" w:cs="宋体"/>
                <w:color w:val="000000"/>
                <w:sz w:val="22"/>
                <w:szCs w:val="22"/>
              </w:rPr>
            </w:pPr>
            <w:r>
              <w:rPr>
                <w:rFonts w:hint="eastAsia"/>
                <w:color w:val="000000"/>
                <w:sz w:val="22"/>
                <w:szCs w:val="22"/>
              </w:rPr>
              <w:t xml:space="preserve">欧盟委员会2023年6月8日关于防止草地贪夜蛾（Spodoptera frugiperda，Smith）传入、定殖和在欧盟境内传播的第2023/1134号执行法规，修订了第2019/2072号执行法规，并废除了第2018/638号执行决议。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46</w:t>
            </w:r>
          </w:p>
        </w:tc>
        <w:tc>
          <w:tcPr>
            <w:tcW w:w="12223" w:type="dxa"/>
            <w:vAlign w:val="center"/>
          </w:tcPr>
          <w:p>
            <w:pPr>
              <w:jc w:val="left"/>
              <w:rPr>
                <w:rFonts w:ascii="宋体" w:cs="宋体"/>
                <w:color w:val="000000"/>
                <w:sz w:val="22"/>
                <w:szCs w:val="22"/>
              </w:rPr>
            </w:pPr>
            <w:r>
              <w:rPr>
                <w:rFonts w:hint="eastAsia"/>
                <w:color w:val="000000"/>
                <w:sz w:val="22"/>
                <w:szCs w:val="22"/>
              </w:rPr>
              <w:t>修订欧洲议会和欧盟理事会（EC）第396/2005号法规附件II和附件V的欧盟委员会法规草案，涉及某些产品中或产品上（Z）-13-十六烯-11-炔-1-基乙酸酯、（Z，Z，Z，Z）-7，13，16，19-二十二碳四烯-1-基异尿酸酯、丙烯腈、氮磺隆、恶唑菌酮、甲基壬基酮、咪鲜胺和次氯酸钠的最大残留量（与欧洲经济区相关的文本）。拟议法规草案涉及更新某些食品中（Z）-13-十六烯-11-炔-1-基乙酸酯、（Z，Z，Z，Z）-7，13，16，19-二十二碳四烯-1-基异尿酸酯、丙烯腈、氮磺隆、恶唑菌酮、甲基壬基酮、咪鲜胺和次氯酸钠的现有最大残留限量。对这些物质在某些商品中的最大残留限量进行了变更。由于该活性物质的使用批准已过期，在删除欧盟不再授权的旧用途后，设定了较低的最大残留限量。</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47</w:t>
            </w:r>
          </w:p>
        </w:tc>
        <w:tc>
          <w:tcPr>
            <w:tcW w:w="12223" w:type="dxa"/>
            <w:vAlign w:val="center"/>
          </w:tcPr>
          <w:p>
            <w:pPr>
              <w:jc w:val="left"/>
              <w:rPr>
                <w:rFonts w:ascii="宋体" w:cs="宋体"/>
                <w:color w:val="000000"/>
                <w:sz w:val="22"/>
                <w:szCs w:val="22"/>
              </w:rPr>
            </w:pPr>
            <w:r>
              <w:rPr>
                <w:rFonts w:hint="eastAsia"/>
                <w:color w:val="000000"/>
                <w:sz w:val="22"/>
                <w:szCs w:val="22"/>
              </w:rPr>
              <w:t>2023年5月25日欧盟委员会（EU）第2023/1032号执行法规，规定了防止番茄褐色皱纹果病毒（ToBRFV）传入和在欧盟境内传播的措施，并修订了（EU）第2020/1191号执行法规。针对番茄褐色皱纹果病毒制定了进口要求和内部措施。</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沙特阿拉伯</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48</w:t>
            </w:r>
          </w:p>
        </w:tc>
        <w:tc>
          <w:tcPr>
            <w:tcW w:w="12223" w:type="dxa"/>
            <w:vAlign w:val="center"/>
          </w:tcPr>
          <w:p>
            <w:pPr>
              <w:jc w:val="left"/>
              <w:rPr>
                <w:rFonts w:ascii="宋体" w:cs="宋体"/>
                <w:color w:val="000000"/>
                <w:sz w:val="22"/>
                <w:szCs w:val="22"/>
              </w:rPr>
            </w:pPr>
            <w:r>
              <w:rPr>
                <w:rFonts w:hint="eastAsia"/>
                <w:color w:val="000000"/>
                <w:sz w:val="22"/>
                <w:szCs w:val="22"/>
              </w:rPr>
              <w:t>沙特食品药品监督管理局行政命令通知，2023年6月13日题为《解除对原产于乌干达的牛、绵羊和山羊肉和肉制品的临时进口禁令》的第29833号法令。 解除SFDA和乌干达签署的《牛、绵羊和山羊肉及其产品进口卫生和技术要求纪要》中概述的对从乌干达进口牛、绵羊和山羊肉及其制品的临时禁令。</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49</w:t>
            </w:r>
          </w:p>
        </w:tc>
        <w:tc>
          <w:tcPr>
            <w:tcW w:w="12223" w:type="dxa"/>
            <w:vAlign w:val="center"/>
          </w:tcPr>
          <w:p>
            <w:pPr>
              <w:jc w:val="left"/>
              <w:rPr>
                <w:rFonts w:ascii="宋体" w:cs="宋体"/>
                <w:color w:val="000000"/>
                <w:sz w:val="22"/>
                <w:szCs w:val="22"/>
              </w:rPr>
            </w:pPr>
            <w:r>
              <w:rPr>
                <w:rFonts w:hint="eastAsia"/>
                <w:color w:val="000000"/>
                <w:sz w:val="22"/>
                <w:szCs w:val="22"/>
              </w:rPr>
              <w:t>沙特食品药品监督管理局行政命令通知，2023年6月13日题为《解除对原产于乌干达的牛、绵羊和山羊肉和肉制品的临时进口禁令》的第29833号法令。 解除SFDA和乌干达签署的《牛、绵羊和山羊肉及其产品进口卫生和技术要求纪要》中概述的对从乌干达进口牛、绵羊和山羊肉及其制品的临时禁令。</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50</w:t>
            </w:r>
          </w:p>
        </w:tc>
        <w:tc>
          <w:tcPr>
            <w:tcW w:w="12223" w:type="dxa"/>
            <w:vAlign w:val="center"/>
          </w:tcPr>
          <w:p>
            <w:pPr>
              <w:jc w:val="left"/>
              <w:rPr>
                <w:rFonts w:ascii="宋体" w:cs="宋体"/>
                <w:color w:val="000000"/>
                <w:sz w:val="22"/>
                <w:szCs w:val="22"/>
              </w:rPr>
            </w:pPr>
            <w:r>
              <w:rPr>
                <w:rFonts w:hint="eastAsia"/>
                <w:color w:val="000000"/>
                <w:sz w:val="22"/>
                <w:szCs w:val="22"/>
              </w:rPr>
              <w:t>沙特食品药品监督管理局行政命令通知，2023年6月13日题为《解除对原产于乌干达的牛、绵羊和山羊肉和肉制品的临时进口禁令》的第29833号法令。解除SFDA和乌干达签署的《牛、绵羊和山羊肉及其产品进口卫生和技术要求纪要》中概述的对从乌干达进口牛、绵羊和山羊肉及其制品的临时禁令。</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斯里兰卡</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51</w:t>
            </w:r>
          </w:p>
        </w:tc>
        <w:tc>
          <w:tcPr>
            <w:tcW w:w="12223" w:type="dxa"/>
            <w:vAlign w:val="center"/>
          </w:tcPr>
          <w:p>
            <w:pPr>
              <w:jc w:val="left"/>
              <w:rPr>
                <w:rFonts w:ascii="宋体" w:cs="宋体"/>
                <w:color w:val="000000"/>
                <w:sz w:val="22"/>
                <w:szCs w:val="22"/>
              </w:rPr>
            </w:pPr>
            <w:r>
              <w:rPr>
                <w:rFonts w:hint="eastAsia"/>
                <w:color w:val="000000"/>
                <w:sz w:val="22"/>
                <w:szCs w:val="22"/>
              </w:rPr>
              <w:t>SLS 214:2010第3号修正案草案 南瓜、果汁糖浆和果汁饮料规范（第二次修订版），根据1980年第26号《食品法》下的2019年《食品（防腐剂）法规》，允许使用南瓜、果汁糖浆和果汁饮料的食品防腐剂。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52</w:t>
            </w:r>
          </w:p>
        </w:tc>
        <w:tc>
          <w:tcPr>
            <w:tcW w:w="12223" w:type="dxa"/>
            <w:vAlign w:val="center"/>
          </w:tcPr>
          <w:p>
            <w:pPr>
              <w:jc w:val="left"/>
              <w:rPr>
                <w:rFonts w:ascii="宋体" w:cs="宋体"/>
                <w:color w:val="000000"/>
                <w:sz w:val="22"/>
                <w:szCs w:val="22"/>
              </w:rPr>
            </w:pPr>
            <w:r>
              <w:rPr>
                <w:rFonts w:hint="eastAsia"/>
                <w:color w:val="000000"/>
                <w:sz w:val="22"/>
                <w:szCs w:val="22"/>
              </w:rPr>
              <w:t>SLS 183:2013，《碳酸饮料规范》第2号修正案草案，根据1980年第26号《食品法》，允许在碳酸饮料中使用的食品防腐剂。</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泰国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53</w:t>
            </w:r>
          </w:p>
        </w:tc>
        <w:tc>
          <w:tcPr>
            <w:tcW w:w="12223" w:type="dxa"/>
            <w:vAlign w:val="center"/>
          </w:tcPr>
          <w:p>
            <w:pPr>
              <w:jc w:val="left"/>
              <w:rPr>
                <w:rFonts w:ascii="宋体" w:cs="宋体"/>
                <w:color w:val="000000"/>
                <w:sz w:val="22"/>
                <w:szCs w:val="22"/>
              </w:rPr>
            </w:pPr>
            <w:r>
              <w:rPr>
                <w:rFonts w:hint="eastAsia"/>
                <w:color w:val="000000"/>
                <w:sz w:val="22"/>
                <w:szCs w:val="22"/>
              </w:rPr>
              <w:t>国家广播和电信委员会关于使用全球铁路移动通信系统（GSM-R）技术的蜂窝地面移动服务中用户设备技术标准的通知草案。（NBTC TS 10XX-256X）；国家广播和电信委员会规定了使用全球铁路移动通信系统（GSM-R）技术的蜂窝地面移动服务中用户设备技术标准，以支持铁路运输。这些技术标准规定了使用全球铁路移动通信系统（GSM-R）技术的蜂窝地面移动服务中用户设备的最低技术特性。</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54</w:t>
            </w:r>
          </w:p>
        </w:tc>
        <w:tc>
          <w:tcPr>
            <w:tcW w:w="12223" w:type="dxa"/>
            <w:vAlign w:val="center"/>
          </w:tcPr>
          <w:p>
            <w:pPr>
              <w:jc w:val="left"/>
              <w:rPr>
                <w:rFonts w:ascii="宋体" w:cs="宋体"/>
                <w:color w:val="000000"/>
                <w:sz w:val="22"/>
                <w:szCs w:val="22"/>
              </w:rPr>
            </w:pPr>
            <w:r>
              <w:rPr>
                <w:rFonts w:hint="eastAsia"/>
                <w:color w:val="000000"/>
                <w:sz w:val="22"/>
                <w:szCs w:val="22"/>
              </w:rPr>
              <w:t>泰国畜牧发展部（DLD）下令暂停从缅甸进口《动物疫病法》中规定的绵羊和山羊及其制品。据2023年3月1日《政府公报》的公告，自2023年3月1日起缅甸暂时停止进口（带）口蹄疫（的绵羊和山羊及其制品）的期限已于2023年5月29日届满。但是，世界动物卫生组织报告称，缅甸地区持续出现口蹄疫。因此，泰国有必要防止口蹄疫传入国内。根据《动物疫病法》，自2023年5月30日在《泰国皇家公报》上公布之日起，暂停从缅甸进口《动物疫病法》中规定的绵羊和山羊及其制品，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55</w:t>
            </w:r>
          </w:p>
        </w:tc>
        <w:tc>
          <w:tcPr>
            <w:tcW w:w="12223" w:type="dxa"/>
            <w:vAlign w:val="center"/>
          </w:tcPr>
          <w:p>
            <w:pPr>
              <w:jc w:val="left"/>
              <w:rPr>
                <w:rFonts w:ascii="宋体" w:cs="宋体"/>
                <w:color w:val="000000"/>
                <w:sz w:val="22"/>
                <w:szCs w:val="22"/>
              </w:rPr>
            </w:pPr>
            <w:r>
              <w:rPr>
                <w:rFonts w:hint="eastAsia"/>
                <w:color w:val="000000"/>
                <w:sz w:val="22"/>
                <w:szCs w:val="22"/>
              </w:rPr>
              <w:t>泰国畜牧发展部（DLD）下令暂停从缅甸进口《动物疫病法》中规定的黄牛和水牛及其制品 根据2023年3月1日《政府公报》的公告，自2023年3月1日起缅甸暂时停止进口（带）口蹄疫（的绵羊和山羊及其制品）的期限已于2022年5月29日届满。但是，世界动物卫生组织报告称，缅甸地区持续出现口蹄疫。因此，泰国有必要防止口蹄疫传入国内。根据《动物疫病法》，自2023年5月30日在《泰国皇家公报》上公布之日起，暂停从缅甸进口《动物疫病法》中规定的黄牛和水牛及其制品，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56</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韩国进口活家猪和野猪及其胴体，以防止非洲猪瘟的传播。根据2023年3月7日《政府公报》的公告，暂停从韩国进口家猪和野猪及其胴体的规定于2023年6月5日到期。但是，世界动物卫生组织报告称，韩国地区持续出现非洲猪瘟疫情。因此，泰国有必要防止非洲猪瘟传入国内。根据《动物疫病法》和《泰国皇家公报》发布公告，自2023年6月6日起，暂停从韩国进口活家猪和野猪及其胴体，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57</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中国台北进口活家禽和家禽胴体，以防止高致病性禽流感（H5N1亚型）的传播。根据2023年3月7日政府公报，暂停从中国台北进口活家禽和家禽胴体的禁令已于2023年6月5日到期。但是，世界动物卫生组织报告称，在中国台北境内持续暴发高致病性禽流感（HPAI）疫情。因此，泰国有必要防止该疫病传入国内。根据《动物疫病法》和《泰国皇家公报》规定，自2023年6月6日起暂时停止从中国台北进口活家禽和家禽胴体，为期90天。除已在泰国畜牧发展部批准的加工厂加工的家禽羽毛和羽绒，以及为确保销毁世界动物卫生组织《陆生动物卫生法典》第10.4.22和10.4.23主题建议的禽流感病毒而加工的商品外，这些商品使用以下方法之一： 在100°C下清洗并蒸汽干燥30分钟； 用福尔马林（10％甲醛）熏蒸消毒8小时；剂量为20千戈瑞的辐照。</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58</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波兰进口活家猪和野猪及其胴体，以防止非洲猪瘟的传播。根据2023年3月7日《政府公报》的公告，暂停从波兰进口活家猪和野猪及其胴体的规定于2023年6月5日到期。但是，世界动物卫生组织报告称，波兰地区持续存在非洲猪瘟疫情。因此，泰国有必要防止非洲猪瘟传入国内。根据《动物疫病法》和《泰国皇家公报》规定，自2023年6月6日起，暂停从波兰进口活家猪和野猪及其胴体，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59</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印度尼西亚进口活家猪和野猪及其胴体，以防止非洲猪瘟的传播。根据2023年3月7日《政府公报》的公告，暂停从印度尼西亚进口家猪和野猪及其胴体的规定于2023年6月5日到期。但是，世界动物卫生组织报告称，印度尼西亚地区持续出现非洲猪瘟疫情。因此，泰国有必要防止非洲猪瘟传入国内。根据《动物疫病法》和《泰国皇家公报》规定，自2023年6月6日起，暂停从印度尼西亚进口活家猪和野猪及其胴体，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60</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越南进口活家猪和野猪及其胴体，以防止非洲猪瘟的传播。根据2023年3月7日《政府公报》的公告，暂停从越南进口活家猪和野猪及其胴体的规定于2023年6月5日到期。但是，世界动物卫生组织报告称，越南地区持续出现非洲猪瘟疫情。因此，泰国有必要防止非洲猪瘟传入国内。根据《动物疫病法》和《泰国皇家公报》规定，自2023年6月6日起，暂停从越南进口活家猪和野猪及其胴体，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61</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缅甸进口活家猪和野猪及其胴体，以防止非洲猪瘟的传播。根据2023年3月7日《政府公报》的公告，暂停从缅甸进口活家猪和野猪及其胴体的规定于2023年6月5日到期。但是，缅甸没有向世界动物卫生组织声明其已为非洲猪瘟无疫区。因此，泰国有必要防止非洲猪瘟传入国内。根据《动物疫病法》和《泰国皇家公报》规定，自2023年6月6日起，暂停从缅甸进口活家猪和野猪及其胴体，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62</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德国进口活家禽和家禽胴体，以防止高致病性禽流感（H5N1亚型）的传播。根据2023年3月7日政府公报的公告，暂停从德国进口活家禽和家禽胴体的禁令已于2023年6月5日到期。但是，世界动物卫生组织报告称，在德国境内持续暴发高致病性禽流感（HPAI）疫情。因此，泰国有必要防止高致病性禽流感（HPAI）疫情传入国内。根据《动物疫病法》和《泰国皇家公报》规定，自2023年6月6日起暂时停止从德国进口活家禽和家禽胴体，为期90天。</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新西兰</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63</w:t>
            </w:r>
          </w:p>
        </w:tc>
        <w:tc>
          <w:tcPr>
            <w:tcW w:w="12223" w:type="dxa"/>
            <w:vAlign w:val="center"/>
          </w:tcPr>
          <w:p>
            <w:pPr>
              <w:jc w:val="left"/>
              <w:rPr>
                <w:rFonts w:ascii="宋体" w:cs="宋体"/>
                <w:color w:val="000000"/>
                <w:sz w:val="22"/>
                <w:szCs w:val="22"/>
              </w:rPr>
            </w:pPr>
            <w:r>
              <w:rPr>
                <w:rFonts w:hint="eastAsia"/>
                <w:color w:val="000000"/>
                <w:sz w:val="22"/>
                <w:szCs w:val="22"/>
              </w:rPr>
              <w:t>苗木进口卫生标准——对葡萄附表的修订。初级产业部（MPI）提议在葡萄种植用植物的进口要求中增加三种新的限定有害生物。病毒为葡萄扇叶病毒、葡萄卷叶班队病毒2“红球”和葡萄病毒E。MPI建议出台法规，在入境后检疫期间用PCR对这三种病毒进行监测。这些措施将在新西兰边境后实施，不会影响贸易。MPI还提议，当从经批准的海上设施进口葡萄插条或来自田地母株的离体植物时，取消进口的选择。这不会影响贸易，因为目前没有经批准的贷款。该修正案使苗木进口卫生标准符合初级产业部海上设施标准。</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64</w:t>
            </w:r>
          </w:p>
        </w:tc>
        <w:tc>
          <w:tcPr>
            <w:tcW w:w="12223" w:type="dxa"/>
            <w:vAlign w:val="center"/>
          </w:tcPr>
          <w:p>
            <w:pPr>
              <w:jc w:val="left"/>
              <w:rPr>
                <w:rFonts w:ascii="宋体" w:cs="宋体"/>
                <w:color w:val="000000"/>
                <w:sz w:val="22"/>
                <w:szCs w:val="22"/>
              </w:rPr>
            </w:pPr>
            <w:r>
              <w:rPr>
                <w:rFonts w:hint="eastAsia"/>
                <w:color w:val="000000"/>
                <w:sz w:val="22"/>
                <w:szCs w:val="22"/>
              </w:rPr>
              <w:t>进口卫生标准：食用、饲料或加工用的谷物和种子，初级产业部拟修订食用、饲料或加工用的谷物和种子的进口卫生标准。修订内容包括：在玉米有害生物名录中移除嗜虫书虱；在玉米有害生物名录中移除竹蠢；在菜豆属有害生物名录中移除番茄黑环病毒（TBRV）。</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65</w:t>
            </w:r>
          </w:p>
        </w:tc>
        <w:tc>
          <w:tcPr>
            <w:tcW w:w="12223" w:type="dxa"/>
            <w:vAlign w:val="center"/>
          </w:tcPr>
          <w:p>
            <w:pPr>
              <w:jc w:val="left"/>
              <w:rPr>
                <w:rFonts w:ascii="宋体" w:cs="宋体"/>
                <w:color w:val="000000"/>
                <w:sz w:val="22"/>
                <w:szCs w:val="22"/>
              </w:rPr>
            </w:pPr>
            <w:r>
              <w:rPr>
                <w:rFonts w:hint="eastAsia"/>
                <w:color w:val="000000"/>
                <w:sz w:val="22"/>
                <w:szCs w:val="22"/>
              </w:rPr>
              <w:t xml:space="preserve">2023年《食品安全标准（酒精饮料）法规修正草案》。2023年《食品安全标准（酒精饮料）法规修正草案》与Mead（蜂蜜酒）、精酿啤酒、印度白酒的标准以及低度酒精饮料/RTD、葡萄酒饮料和乡村白酒等的定义有关。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66</w:t>
            </w:r>
          </w:p>
        </w:tc>
        <w:tc>
          <w:tcPr>
            <w:tcW w:w="12223" w:type="dxa"/>
            <w:vAlign w:val="center"/>
          </w:tcPr>
          <w:p>
            <w:pPr>
              <w:jc w:val="left"/>
              <w:rPr>
                <w:rFonts w:ascii="宋体" w:cs="宋体"/>
                <w:color w:val="000000"/>
                <w:sz w:val="22"/>
                <w:szCs w:val="22"/>
              </w:rPr>
            </w:pPr>
            <w:r>
              <w:rPr>
                <w:rFonts w:hint="eastAsia"/>
                <w:color w:val="000000"/>
                <w:sz w:val="22"/>
                <w:szCs w:val="22"/>
              </w:rPr>
              <w:t xml:space="preserve">2023年《2003年植物检疫（印度进口法规）令草案》（第四次修正案）。2023年《植物检疫（印度进口法规）（第四次修正案）令草案》旨在进一步放宽从肯尼亚进口牛油果（Persea americana）的规定。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英国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67</w:t>
            </w:r>
          </w:p>
        </w:tc>
        <w:tc>
          <w:tcPr>
            <w:tcW w:w="12223" w:type="dxa"/>
            <w:vAlign w:val="center"/>
          </w:tcPr>
          <w:p>
            <w:pPr>
              <w:jc w:val="left"/>
              <w:rPr>
                <w:rFonts w:ascii="宋体" w:cs="宋体"/>
                <w:color w:val="000000"/>
                <w:sz w:val="22"/>
                <w:szCs w:val="22"/>
              </w:rPr>
            </w:pPr>
            <w:r>
              <w:rPr>
                <w:rFonts w:hint="eastAsia"/>
                <w:color w:val="000000"/>
                <w:sz w:val="22"/>
                <w:szCs w:val="22"/>
              </w:rPr>
              <w:t>慢性消耗性疾病：特别措施声明（英格兰）；慢性消耗性疾病：特别措施声明（苏格兰）；慢性消耗性疾病：特别措施声明（威尔士）。有必要发布本特别措施声明，以防止慢性消耗性疾病侵入英国。本措施禁止从报告了慢性消耗性疾病病例的国家进口活鹿和鹿尿猎捕诱饵。针对从报告了慢性消耗性疾病的国家进口鲜鹿肉，本措施还施加了附加认证要求。</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约旦</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68</w:t>
            </w:r>
          </w:p>
        </w:tc>
        <w:tc>
          <w:tcPr>
            <w:tcW w:w="12223" w:type="dxa"/>
            <w:vAlign w:val="center"/>
          </w:tcPr>
          <w:p>
            <w:pPr>
              <w:jc w:val="left"/>
              <w:rPr>
                <w:rFonts w:ascii="宋体" w:cs="宋体"/>
                <w:color w:val="000000"/>
                <w:sz w:val="22"/>
                <w:szCs w:val="22"/>
              </w:rPr>
            </w:pPr>
            <w:r>
              <w:rPr>
                <w:rFonts w:hint="eastAsia"/>
                <w:color w:val="000000"/>
                <w:sz w:val="22"/>
                <w:szCs w:val="22"/>
              </w:rPr>
              <w:t>光源和独立控制装置生态设计要求的技术法规草案，本技术法规规定了光源和独立控制装置投放市场的生态设计要求。这些要求也适用于内含产品中投放市场的光源和独立控制装置。</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69</w:t>
            </w:r>
          </w:p>
        </w:tc>
        <w:tc>
          <w:tcPr>
            <w:tcW w:w="12223" w:type="dxa"/>
            <w:vAlign w:val="center"/>
          </w:tcPr>
          <w:p>
            <w:pPr>
              <w:jc w:val="left"/>
              <w:rPr>
                <w:rFonts w:ascii="宋体" w:cs="宋体"/>
                <w:color w:val="000000"/>
                <w:sz w:val="22"/>
                <w:szCs w:val="22"/>
              </w:rPr>
            </w:pPr>
            <w:r>
              <w:rPr>
                <w:rFonts w:hint="eastAsia"/>
                <w:color w:val="000000"/>
                <w:sz w:val="22"/>
                <w:szCs w:val="22"/>
              </w:rPr>
              <w:t>关于制定能源标签框架的技术法规草案，本技术法规规定了光源和独立控制装置投放市场的生态设计要求。这些要求也适用于内含产品中投放市场的光源和独立控制装置。</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70</w:t>
            </w:r>
          </w:p>
        </w:tc>
        <w:tc>
          <w:tcPr>
            <w:tcW w:w="12223" w:type="dxa"/>
            <w:vAlign w:val="center"/>
          </w:tcPr>
          <w:p>
            <w:pPr>
              <w:jc w:val="left"/>
              <w:rPr>
                <w:rFonts w:ascii="宋体" w:cs="宋体"/>
                <w:color w:val="000000"/>
                <w:sz w:val="22"/>
                <w:szCs w:val="22"/>
              </w:rPr>
            </w:pPr>
            <w:r>
              <w:rPr>
                <w:rFonts w:hint="eastAsia"/>
                <w:color w:val="000000"/>
                <w:sz w:val="22"/>
                <w:szCs w:val="22"/>
              </w:rPr>
              <w:t>光源标签要求技术法规草案，本法规规定了带或不带集成控制装置的光源的标签和补充产品信息的要求。这些要求也适用于内含产品中投放市场的光源。</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71</w:t>
            </w:r>
          </w:p>
        </w:tc>
        <w:tc>
          <w:tcPr>
            <w:tcW w:w="12223" w:type="dxa"/>
            <w:vAlign w:val="center"/>
          </w:tcPr>
          <w:p>
            <w:pPr>
              <w:jc w:val="left"/>
              <w:rPr>
                <w:rFonts w:ascii="宋体" w:cs="宋体"/>
                <w:color w:val="000000"/>
                <w:sz w:val="22"/>
                <w:szCs w:val="22"/>
              </w:rPr>
            </w:pPr>
            <w:r>
              <w:rPr>
                <w:rFonts w:hint="eastAsia"/>
                <w:color w:val="000000"/>
                <w:sz w:val="22"/>
                <w:szCs w:val="22"/>
              </w:rPr>
              <w:t>制冷器具标签要求技术法规草案，1.本法规规定了容量大于10升且小于或等于1500升的干线供电制冷器具的标签和补充产品信息的要求。2.本法规不适用于：（a）专业冷藏柜和鼓风柜，但专业箱式冷冻机除外；（b）具有直销功能的制冷器具；（c）移动式制冷器具；（d）主要功能不是通过冷藏来储存食品的器具。</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越南</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72</w:t>
            </w:r>
          </w:p>
        </w:tc>
        <w:tc>
          <w:tcPr>
            <w:tcW w:w="12223" w:type="dxa"/>
            <w:vAlign w:val="center"/>
          </w:tcPr>
          <w:p>
            <w:pPr>
              <w:jc w:val="left"/>
              <w:rPr>
                <w:rFonts w:ascii="宋体" w:cs="宋体"/>
                <w:color w:val="000000"/>
                <w:sz w:val="22"/>
                <w:szCs w:val="22"/>
              </w:rPr>
            </w:pPr>
            <w:r>
              <w:rPr>
                <w:rFonts w:hint="eastAsia"/>
                <w:color w:val="000000"/>
                <w:sz w:val="22"/>
                <w:szCs w:val="22"/>
              </w:rPr>
              <w:t>国家工业爆炸材料安全技术法规—非电期延期雷管，本国家技术法规草案规定了非电期延期雷管的技术规范、测试方法和管理措施的要求。本国家技术法规草案适用于在越南境内从事与非电期延期雷管有关的活动的组织和个人以及其他相关组织和个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73</w:t>
            </w:r>
          </w:p>
        </w:tc>
        <w:tc>
          <w:tcPr>
            <w:tcW w:w="12223" w:type="dxa"/>
            <w:vAlign w:val="center"/>
          </w:tcPr>
          <w:p>
            <w:pPr>
              <w:jc w:val="left"/>
              <w:rPr>
                <w:rFonts w:ascii="宋体" w:cs="宋体"/>
                <w:color w:val="000000"/>
                <w:sz w:val="22"/>
                <w:szCs w:val="22"/>
              </w:rPr>
            </w:pPr>
            <w:r>
              <w:rPr>
                <w:rFonts w:hint="eastAsia"/>
                <w:color w:val="000000"/>
                <w:sz w:val="22"/>
                <w:szCs w:val="22"/>
              </w:rPr>
              <w:t>国家工业爆炸材料安全技术法规—安全期延期电雷管，本国家技术法规草案规定了安全期延期电雷管的技术规范、测试方法和管理措施等要求。本国家技术法规草案适用于在越南境内从事与安全期延期电雷管有关活动的组织和个人以及其他相关组织和个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74</w:t>
            </w:r>
          </w:p>
        </w:tc>
        <w:tc>
          <w:tcPr>
            <w:tcW w:w="12223" w:type="dxa"/>
            <w:vAlign w:val="center"/>
          </w:tcPr>
          <w:p>
            <w:pPr>
              <w:jc w:val="left"/>
              <w:rPr>
                <w:rFonts w:ascii="宋体" w:cs="宋体"/>
                <w:color w:val="000000"/>
                <w:sz w:val="22"/>
                <w:szCs w:val="22"/>
              </w:rPr>
            </w:pPr>
            <w:r>
              <w:rPr>
                <w:rFonts w:hint="eastAsia"/>
                <w:color w:val="000000"/>
                <w:sz w:val="22"/>
                <w:szCs w:val="22"/>
              </w:rPr>
              <w:t>国家工业爆炸材料安全技术法规—电子雷管，本国家技术法规草案规定了电子雷管的技术规范、测试方法和管理措施等要求。本国家技术法规草案适用于在越南境内从事电子雷管相关活动的组织和个人以及其他相关组织和个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75</w:t>
            </w:r>
          </w:p>
        </w:tc>
        <w:tc>
          <w:tcPr>
            <w:tcW w:w="12223" w:type="dxa"/>
            <w:vAlign w:val="center"/>
          </w:tcPr>
          <w:p>
            <w:pPr>
              <w:jc w:val="left"/>
              <w:rPr>
                <w:rFonts w:ascii="宋体" w:cs="宋体"/>
                <w:color w:val="000000"/>
                <w:sz w:val="22"/>
                <w:szCs w:val="22"/>
              </w:rPr>
            </w:pPr>
            <w:r>
              <w:rPr>
                <w:rFonts w:hint="eastAsia"/>
                <w:color w:val="000000"/>
                <w:sz w:val="22"/>
                <w:szCs w:val="22"/>
              </w:rPr>
              <w:t>国家工业爆炸材料安全技术法规—露天和地下矿山、无爆炸性气体的地下工程用边界乳化炸药，本国家技术法规草案规定了露天和地下矿山、无爆炸性气体的地下工程用边界乳化炸药的技术规范、测试方法和管理措施等要求。本国家技术法规草案适用于在越南境内从事露天和地下矿山、无爆炸性气体的地下工程用边界乳化炸药相关活动的组织和个人以及其他相关组织和个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76</w:t>
            </w:r>
          </w:p>
        </w:tc>
        <w:tc>
          <w:tcPr>
            <w:tcW w:w="12223" w:type="dxa"/>
            <w:vAlign w:val="center"/>
          </w:tcPr>
          <w:p>
            <w:pPr>
              <w:jc w:val="left"/>
              <w:rPr>
                <w:rFonts w:ascii="宋体" w:cs="宋体"/>
                <w:color w:val="000000"/>
                <w:sz w:val="22"/>
                <w:szCs w:val="22"/>
              </w:rPr>
            </w:pPr>
            <w:r>
              <w:rPr>
                <w:rFonts w:hint="eastAsia"/>
                <w:color w:val="000000"/>
                <w:sz w:val="22"/>
                <w:szCs w:val="22"/>
              </w:rPr>
              <w:t>国家工业爆炸材料安全技术法规—信号管，本国家技术法规草案规定了信号管的技术规范、测试方法和管理办措施要求。本国家技术法规草案适用于在越南境内从事信号管相关活动的组织和个人以及其他相关组织和个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77</w:t>
            </w:r>
          </w:p>
        </w:tc>
        <w:tc>
          <w:tcPr>
            <w:tcW w:w="12223" w:type="dxa"/>
            <w:vAlign w:val="center"/>
          </w:tcPr>
          <w:p>
            <w:pPr>
              <w:jc w:val="left"/>
              <w:rPr>
                <w:rFonts w:ascii="宋体" w:cs="宋体"/>
                <w:color w:val="000000"/>
                <w:sz w:val="22"/>
                <w:szCs w:val="22"/>
              </w:rPr>
            </w:pPr>
            <w:r>
              <w:rPr>
                <w:rFonts w:hint="eastAsia"/>
                <w:color w:val="000000"/>
                <w:sz w:val="22"/>
                <w:szCs w:val="22"/>
              </w:rPr>
              <w:t>国家工业爆炸材料安全技术法规—Pentrit炸药，本国家技术法规草案规定了Pentrit炸药的技术规范、测试方法和管理措施的要求。本国家技术法规草案适用于在越南境内从事与Pentrit炸药有关的活动的组织和个人以及其他相关组织和个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78</w:t>
            </w:r>
          </w:p>
        </w:tc>
        <w:tc>
          <w:tcPr>
            <w:tcW w:w="12223" w:type="dxa"/>
            <w:vAlign w:val="center"/>
          </w:tcPr>
          <w:p>
            <w:pPr>
              <w:jc w:val="left"/>
              <w:rPr>
                <w:rFonts w:ascii="宋体" w:cs="宋体"/>
                <w:color w:val="000000"/>
                <w:sz w:val="22"/>
                <w:szCs w:val="22"/>
              </w:rPr>
            </w:pPr>
            <w:r>
              <w:rPr>
                <w:rFonts w:hint="eastAsia"/>
                <w:color w:val="000000"/>
                <w:sz w:val="22"/>
                <w:szCs w:val="22"/>
              </w:rPr>
              <w:t>国家工业爆炸材料安全技术法规—奥克托金炸药，本国家技术法规草案规定了对奥克托金炸药的技术规范、测试方法和管理措施的要求。本国家技术法规草案适用于在越南境内从事与奥克托金炸药有关的活动的组织和个人以及其他相关组织和个人。</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79</w:t>
            </w:r>
          </w:p>
        </w:tc>
        <w:tc>
          <w:tcPr>
            <w:tcW w:w="12223" w:type="dxa"/>
            <w:vAlign w:val="center"/>
          </w:tcPr>
          <w:p>
            <w:pPr>
              <w:jc w:val="left"/>
              <w:rPr>
                <w:rFonts w:ascii="宋体" w:cs="宋体"/>
                <w:color w:val="000000"/>
                <w:sz w:val="22"/>
                <w:szCs w:val="22"/>
              </w:rPr>
            </w:pPr>
            <w:r>
              <w:rPr>
                <w:rFonts w:hint="eastAsia"/>
                <w:color w:val="000000"/>
                <w:sz w:val="22"/>
                <w:szCs w:val="22"/>
              </w:rPr>
              <w:t>勘误: QCVN 109:2021/BGTVT《关于新组装、制造和进口汽车第五级气体污染物排放的国家技术法规》修正案草案01:2023 负责机构提交措施草案的更新PDF版本。</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智利</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80</w:t>
            </w:r>
          </w:p>
        </w:tc>
        <w:tc>
          <w:tcPr>
            <w:tcW w:w="12223" w:type="dxa"/>
            <w:vAlign w:val="center"/>
          </w:tcPr>
          <w:p>
            <w:pPr>
              <w:jc w:val="left"/>
              <w:rPr>
                <w:rFonts w:ascii="宋体" w:cs="宋体"/>
                <w:color w:val="000000"/>
                <w:sz w:val="22"/>
                <w:szCs w:val="22"/>
              </w:rPr>
            </w:pPr>
            <w:r>
              <w:rPr>
                <w:rFonts w:hint="eastAsia"/>
                <w:color w:val="000000"/>
                <w:sz w:val="22"/>
                <w:szCs w:val="22"/>
              </w:rPr>
              <w:t xml:space="preserve">关于从美国加利福尼亚州进口柑橘（柑橘属）细枝的植物检疫要求，修订了2010年第1.423号决议，并废除了2003年第3.679号决议。本通报文件特别规定了从美国加利福尼亚州进口柑橘属细枝用作繁殖材料的植物检疫要求。每批柑橘属细枝必须附有美国官方植物检疫机构签发的植物检疫证书，其中包括决议草案中规定的附加声明。每批货物必须使用原产国授权的产品通过浸泡或喷洒对昆虫或螨虫进行了有效的除害处理，且植物检疫证书必须在处理部分说明处理日期、产品的活性成分、处理类型（浸泡或喷洒）以及使用的剂量。此外，货物必须符合决议草案中规定的植物检疫要求，这些要求将在入境点的植物检疫检查中进行核实。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81</w:t>
            </w:r>
          </w:p>
        </w:tc>
        <w:tc>
          <w:tcPr>
            <w:tcW w:w="12223" w:type="dxa"/>
            <w:vAlign w:val="center"/>
          </w:tcPr>
          <w:p>
            <w:pPr>
              <w:jc w:val="left"/>
              <w:rPr>
                <w:rFonts w:ascii="宋体" w:cs="宋体"/>
                <w:color w:val="000000"/>
                <w:sz w:val="22"/>
                <w:szCs w:val="22"/>
              </w:rPr>
            </w:pPr>
            <w:r>
              <w:rPr>
                <w:rFonts w:hint="eastAsia"/>
                <w:color w:val="000000"/>
                <w:sz w:val="22"/>
                <w:szCs w:val="22"/>
              </w:rPr>
              <w:t xml:space="preserve">2014年第1.482号决议修正案，规定了巴西新鲜甜瓜（Cucumis melo）和西瓜（Citrullus lanatus）的植物检疫进口要求。重新评估了2014年第1.482号SAG豁免决议中列出的要求，以及从巴西向智利出口供消费的新鲜水果甜瓜（Cucumis melo）和西瓜（Citrullus lanatus）的工作计划，这些水果来自塞阿拉州和北里奥格兰德州的一些市镇，这些市镇被认定为无按实蝇区，此后，有必要修订该决议，以纳入在巴西境内运输、植物检疫保护的替代方案，并由巴西NPPO负责对方案参与者的授权进行初步核查。 </w:t>
            </w:r>
          </w:p>
        </w:tc>
      </w:tr>
    </w:tbl>
    <w:p>
      <w:pPr>
        <w:autoSpaceDN w:val="0"/>
        <w:adjustRightInd w:val="0"/>
        <w:snapToGrid w:val="0"/>
        <w:spacing w:line="560" w:lineRule="exact"/>
        <w:ind w:left="0" w:firstLineChars="200" w:firstLine="640"/>
        <w:rPr>
          <w:rFonts w:ascii="方正仿宋_GBK" w:eastAsia="方正仿宋_GBK" w:cs="Times New Roman"/>
          <w:sz w:val="32"/>
          <w:szCs w:val="32"/>
        </w:rPr>
      </w:pPr>
      <w:r>
        <w:rPr>
          <w:rStyle w:val="19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cs="方正仿宋_GBK" w:hint="eastAsia"/>
          <w:sz w:val="32"/>
          <w:szCs w:val="32"/>
        </w:rPr>
        <w:t>各国（地区）技术性贸易措施</w:t>
      </w:r>
      <w:r>
        <w:rPr>
          <w:rStyle w:val="19Char"/>
          <w:rFonts w:ascii="方正仿宋_GBK" w:eastAsia="方正仿宋_GBK" w:cs="方正仿宋_GBK" w:hint="eastAsia"/>
          <w:kern w:val="0"/>
          <w:sz w:val="32"/>
          <w:szCs w:val="32"/>
        </w:rPr>
        <w:t>，</w:t>
      </w:r>
      <w:r>
        <w:rPr>
          <w:rFonts w:ascii="方正仿宋_GBK" w:eastAsia="方正仿宋_GBK" w:cs="方正仿宋_GBK" w:hint="eastAsia"/>
          <w:sz w:val="32"/>
          <w:szCs w:val="32"/>
        </w:rPr>
        <w:t>根据需要及时向社会公布</w:t>
      </w:r>
      <w:r>
        <w:rPr>
          <w:rStyle w:val="19Char"/>
          <w:rFonts w:ascii="方正仿宋_GBK" w:eastAsia="方正仿宋_GBK" w:cs="方正仿宋_GBK" w:hint="eastAsia"/>
          <w:kern w:val="0"/>
          <w:sz w:val="32"/>
          <w:szCs w:val="32"/>
        </w:rPr>
        <w:t>，优化营商环境，</w:t>
      </w:r>
      <w:r>
        <w:rPr>
          <w:rFonts w:ascii="方正仿宋_GBK" w:eastAsia="方正仿宋_GBK" w:cs="方正仿宋_GBK" w:hint="eastAsia"/>
          <w:sz w:val="32"/>
          <w:szCs w:val="32"/>
        </w:rPr>
        <w:t>做好稳外贸稳外资工作，服务外贸企业，帮助企业有效应对，降低技术性贸易措施带来的影响和损失。</w:t>
      </w:r>
    </w:p>
    <w:p>
      <w:pPr>
        <w:pStyle w:val="20"/>
        <w:ind w:firstLineChars="200" w:firstLine="640"/>
        <w:jc w:val="center"/>
        <w:rPr>
          <w:rFonts w:ascii="方正仿宋_GBK" w:eastAsia="方正仿宋_GBK" w:cs="Times New Roman"/>
          <w:sz w:val="32"/>
          <w:szCs w:val="32"/>
        </w:rPr>
      </w:pPr>
      <w:r>
        <w:rPr>
          <w:rFonts w:ascii="方正仿宋_GBK" w:eastAsia="方正仿宋_GBK" w:cs="方正仿宋_GBK" w:hint="eastAsia"/>
          <w:sz w:val="32"/>
          <w:szCs w:val="32"/>
        </w:rPr>
        <w:t xml:space="preserve">                                                               武汉海关</w:t>
      </w:r>
    </w:p>
    <w:p>
      <w:pPr>
        <w:autoSpaceDN w:val="0"/>
        <w:ind w:right="480" w:firstLineChars="200" w:firstLine="640"/>
        <w:jc w:val="right"/>
        <w:rPr>
          <w:rFonts w:cs="Times New Roman"/>
        </w:rPr>
      </w:pPr>
      <w:r>
        <w:rPr>
          <w:rFonts w:ascii="Times New Roman" w:eastAsia="方正仿宋_GBK" w:cs="Times New Roman" w:hAnsi="Times New Roman"/>
          <w:sz w:val="32"/>
          <w:szCs w:val="32"/>
        </w:rPr>
        <w:t>202</w:t>
      </w:r>
      <w:r>
        <w:rPr>
          <w:rFonts w:ascii="Times New Roman" w:eastAsia="方正仿宋_GBK" w:cs="Times New Roman" w:hAnsi="Times New Roman" w:hint="eastAsia"/>
          <w:sz w:val="32"/>
          <w:szCs w:val="32"/>
        </w:rPr>
        <w:t>3</w:t>
      </w:r>
      <w:r>
        <w:rPr>
          <w:rFonts w:ascii="Times New Roman" w:eastAsia="方正仿宋_GBK" w:cs="方正仿宋_GBK" w:hAnsi="Times New Roman" w:hint="eastAsia"/>
          <w:sz w:val="32"/>
          <w:szCs w:val="32"/>
        </w:rPr>
        <w:t>年</w:t>
      </w:r>
      <w:r>
        <w:rPr>
          <w:rFonts w:ascii="Times New Roman" w:eastAsia="方正仿宋_GBK" w:cs="Times New Roman" w:hAnsi="Times New Roman" w:hint="eastAsia"/>
          <w:sz w:val="32"/>
          <w:szCs w:val="32"/>
        </w:rPr>
        <w:t>7</w:t>
      </w:r>
      <w:r>
        <w:rPr>
          <w:rFonts w:ascii="Times New Roman" w:eastAsia="方正仿宋_GBK" w:cs="方正仿宋_GBK" w:hAnsi="Times New Roman" w:hint="eastAsia"/>
          <w:sz w:val="32"/>
          <w:szCs w:val="32"/>
        </w:rPr>
        <w:t>月</w:t>
      </w:r>
      <w:r>
        <w:rPr>
          <w:rFonts w:ascii="Times New Roman" w:eastAsia="方正仿宋_GBK" w:cs="Times New Roman" w:hAnsi="Times New Roman" w:hint="eastAsia"/>
          <w:sz w:val="32"/>
          <w:szCs w:val="32"/>
        </w:rPr>
        <w:t>12</w:t>
      </w:r>
      <w:r>
        <w:rPr>
          <w:rFonts w:ascii="Times New Roman" w:eastAsia="方正仿宋_GBK" w:cs="方正仿宋_GBK" w:hAnsi="Times New Roman" w:hint="eastAsia"/>
          <w:sz w:val="32"/>
          <w:szCs w:val="32"/>
        </w:rPr>
        <w:t>日</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NormalCharacter"/>
  </w:style>
  <w:style w:type="character" w:customStyle="1" w:styleId="18">
    <w:name w:val="im-content1"/>
    <w:basedOn w:val="10"/>
    <w:rPr>
      <w:color w:val="000000"/>
    </w:rPr>
  </w:style>
  <w:style w:type="paragraph" w:customStyle="1" w:styleId="19">
    <w:name w:val="样式"/>
    <w:link w:val="19Char"/>
    <w:rPr>
      <w:rFonts w:ascii="Times New Roman" w:eastAsia="宋体" w:cs="Times New Roman" w:hAnsi="Times New Roman"/>
      <w:lang w:val="en-US" w:eastAsia="zh-CN" w:bidi="ar-SA"/>
    </w:rPr>
  </w:style>
  <w:style w:type="character" w:customStyle="1" w:styleId="19Char">
    <w:name w:val="样式 Char"/>
    <w:basedOn w:val="10"/>
    <w:link w:val="19"/>
    <w:rPr>
      <w:rFonts w:ascii="Times New Roman" w:eastAsia="宋体" w:cs="Times New Roman" w:hAnsi="Times New Roman"/>
      <w:lang w:val="en-US" w:eastAsia="zh-CN" w:bidi="ar-SA"/>
    </w:rPr>
  </w:style>
  <w:style w:type="paragraph" w:customStyle="1" w:styleId="20">
    <w:name w:val="样式 1 10 磅"/>
    <w:pPr>
      <w:widowControl w:val="0"/>
      <w:jc w:val="both"/>
    </w:pPr>
    <w:rPr>
      <w:rFonts w:ascii="Calibri" w:eastAsia="宋体" w:cs="Calibri" w:hAnsi="Calibri"/>
      <w:kern w:val="2"/>
      <w:sz w:val="21"/>
      <w:szCs w:val="21"/>
      <w:lang w:val="en-US" w:eastAsia="zh-CN" w:bidi="ar-SA"/>
    </w:rPr>
  </w:style>
  <w:style w:type="character" w:customStyle="1" w:styleId="21">
    <w:name w:val="font21"/>
    <w:basedOn w:val="10"/>
    <w:rPr>
      <w:rFonts w:ascii="宋体" w:eastAsia="宋体" w:cs="宋体"/>
      <w:color w:val="000000"/>
      <w:sz w:val="18"/>
      <w:szCs w:val="18"/>
      <w:u w:val="none"/>
    </w:rPr>
  </w:style>
  <w:style w:type="character" w:customStyle="1" w:styleId="22">
    <w:name w:val="font31"/>
    <w:basedOn w:val="10"/>
    <w:rPr>
      <w:rFonts w:ascii="Calibri" w:cs="Calibri" w:hAnsi="Calibri"/>
      <w:color w:val="000000"/>
      <w:sz w:val="18"/>
      <w:szCs w:val="18"/>
      <w:u w:val="none"/>
    </w:rPr>
  </w:style>
  <w:style w:type="character" w:customStyle="1" w:styleId="23">
    <w:name w:val="font11"/>
    <w:basedOn w:val="10"/>
    <w:rPr>
      <w:rFonts w:ascii="Times New Roman" w:cs="Times New Roman" w:hAnsi="Times New Roman"/>
      <w:color w:val="000000"/>
      <w:sz w:val="24"/>
      <w:szCs w:val="24"/>
      <w:u w:val="none"/>
    </w:rPr>
  </w:style>
  <w:style w:type="character" w:customStyle="1" w:styleId="24">
    <w:name w:val="font51"/>
    <w:basedOn w:val="10"/>
    <w:rPr>
      <w:rFonts w:ascii="方正仿宋_GBK" w:eastAsia="方正仿宋_GBK" w:cs="方正仿宋_GBK"/>
      <w:color w:val="000000"/>
      <w:sz w:val="24"/>
      <w:szCs w:val="24"/>
      <w:u w:val="none"/>
    </w:rPr>
  </w:style>
  <w:style w:type="character" w:customStyle="1" w:styleId="25">
    <w:name w:val="font41"/>
    <w:basedOn w:val="10"/>
    <w:rPr>
      <w:rFonts w:ascii="方正仿宋_GBK" w:eastAsia="方正仿宋_GBK" w:cs="方正仿宋_GBK"/>
      <w:color w:val="000000"/>
      <w:sz w:val="24"/>
      <w:szCs w:val="24"/>
      <w:u w:val="none"/>
    </w:rPr>
  </w:style>
  <w:style w:type="character" w:customStyle="1" w:styleId="26">
    <w:name w:val="font61"/>
    <w:basedOn w:val="10"/>
    <w:rPr>
      <w:rFonts w:ascii="方正仿宋_GBK" w:eastAsia="方正仿宋_GBK" w:cs="方正仿宋_GBK"/>
      <w:color w:val="4D4D4D"/>
      <w:sz w:val="24"/>
      <w:szCs w:val="24"/>
      <w:u w:val="none"/>
    </w:rPr>
  </w:style>
  <w:style w:type="character" w:customStyle="1" w:styleId="27">
    <w:name w:val="font01"/>
    <w:basedOn w:val="10"/>
    <w:rPr>
      <w:rFonts w:ascii="宋体" w:eastAsia="宋体" w:cs="宋体"/>
      <w:color w:val="000000"/>
      <w:sz w:val="22"/>
      <w:szCs w:val="22"/>
      <w:u w:val="none"/>
    </w:rPr>
  </w:style>
  <w:style w:type="character" w:customStyle="1" w:styleId="28">
    <w:name w:val="font71"/>
    <w:basedOn w:val="10"/>
    <w:rPr>
      <w:rFonts w:ascii="Times New Roman" w:cs="Times New Roman" w:hAnsi="Times New Roman"/>
      <w:color w:val="auto"/>
      <w:sz w:val="32"/>
      <w:szCs w:val="32"/>
      <w:u w:val="none"/>
    </w:rPr>
  </w:style>
  <w:style w:type="character" w:customStyle="1" w:styleId="29">
    <w:name w:val="font81"/>
    <w:basedOn w:val="10"/>
    <w:rPr>
      <w:rFonts w:ascii="Times New Roman" w:cs="Times New Roman" w:hAnsi="Times New Roman"/>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1001</TotalTime>
  <Application>Yozo_Office</Application>
  <Pages>13</Pages>
  <Words>14085</Words>
  <Characters>15941</Characters>
  <Lines>379</Lines>
  <Paragraphs>190</Paragraphs>
  <CharactersWithSpaces>16167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武汉海关关于发布境外技术性贸易措施风险信息的提示</dc:title>
  <dc:creator>曾繁</dc:creator>
  <cp:lastModifiedBy>范思齐</cp:lastModifiedBy>
  <cp:revision>20</cp:revision>
  <dcterms:created xsi:type="dcterms:W3CDTF">2022-10-13T03:00:00Z</dcterms:created>
  <dcterms:modified xsi:type="dcterms:W3CDTF">2023-07-14T01:31:08Z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CF9849E3307943108F88771BECF146AD</vt:lpwstr>
  </property>
</Properties>
</file>