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autoSpaceDN w:val="0"/>
        <w:adjustRightInd w:val="0"/>
        <w:snapToGrid w:val="0"/>
        <w:spacing w:line="560" w:lineRule="exact"/>
        <w:ind w:firstLine="420"/>
        <w:jc w:val="center"/>
        <w:rPr>
          <w:rFonts w:ascii="方正小标宋_GBK" w:eastAsia="方正小标宋_GBK" w:cs="Times New Roman"/>
          <w:sz w:val="44"/>
          <w:szCs w:val="44"/>
        </w:rPr>
      </w:pPr>
      <w:bookmarkStart w:id="0" w:name="_GoBack"/>
      <w:bookmarkEnd w:id="0"/>
      <w:r>
        <w:rPr>
          <w:rFonts w:ascii="方正小标宋_GBK" w:eastAsia="方正小标宋_GBK" w:cs="方正小标宋_GBK" w:hint="eastAsia"/>
          <w:sz w:val="44"/>
          <w:szCs w:val="44"/>
        </w:rPr>
        <w:t>武汉海关关于发布境外技术性贸易措施风险信息的提示</w:t>
      </w:r>
    </w:p>
    <w:p>
      <w:pPr>
        <w:autoSpaceDN w:val="0"/>
        <w:adjustRightInd w:val="0"/>
        <w:snapToGrid w:val="0"/>
        <w:spacing w:line="560" w:lineRule="exact"/>
        <w:jc w:val="center"/>
        <w:rPr>
          <w:rFonts w:ascii="方正楷体_GBK" w:eastAsia="方正楷体_GBK" w:cs="Times New Roman"/>
          <w:sz w:val="32"/>
          <w:szCs w:val="32"/>
        </w:rPr>
      </w:pPr>
      <w:r>
        <w:rPr>
          <w:rFonts w:ascii="方正楷体_GBK" w:eastAsia="方正楷体_GBK" w:cs="方正楷体_GBK" w:hint="eastAsia"/>
          <w:sz w:val="32"/>
          <w:szCs w:val="32"/>
        </w:rPr>
        <w:t>（</w:t>
      </w:r>
      <w:r>
        <w:rPr>
          <w:rFonts w:ascii="方正楷体_GBK" w:eastAsia="方正楷体_GBK" w:cs="方正楷体_GBK"/>
          <w:sz w:val="32"/>
          <w:szCs w:val="32"/>
        </w:rPr>
        <w:t>202</w:t>
      </w:r>
      <w:r>
        <w:rPr>
          <w:rFonts w:ascii="方正楷体_GBK" w:eastAsia="方正楷体_GBK" w:cs="方正楷体_GBK" w:hint="eastAsia"/>
          <w:sz w:val="32"/>
          <w:szCs w:val="32"/>
        </w:rPr>
        <w:t>30</w:t>
      </w:r>
      <w:r>
        <w:rPr>
          <w:rFonts w:ascii="方正楷体_GBK" w:eastAsia="方正楷体_GBK" w:cs="方正楷体_GBK"/>
          <w:sz w:val="32"/>
          <w:szCs w:val="32"/>
        </w:rPr>
        <w:t>5</w:t>
      </w:r>
      <w:r>
        <w:rPr>
          <w:rFonts w:ascii="方正楷体_GBK" w:eastAsia="方正楷体_GBK" w:cs="方正楷体_GBK" w:hint="eastAsia"/>
          <w:sz w:val="32"/>
          <w:szCs w:val="32"/>
        </w:rPr>
        <w:t>期总第36期）</w:t>
      </w:r>
    </w:p>
    <w:p>
      <w:pPr>
        <w:autoSpaceDN w:val="0"/>
        <w:adjustRightInd w:val="0"/>
        <w:snapToGrid w:val="0"/>
        <w:spacing w:line="560" w:lineRule="exact"/>
        <w:ind w:firstLineChars="200" w:firstLine="640"/>
        <w:rPr>
          <w:rFonts w:ascii="方正仿宋_GBK" w:eastAsia="方正仿宋_GBK" w:cs="Times New Roman"/>
          <w:sz w:val="32"/>
          <w:szCs w:val="32"/>
        </w:rPr>
      </w:pPr>
      <w:r>
        <w:rPr>
          <w:rFonts w:ascii="方正仿宋_GBK" w:eastAsia="方正仿宋_GBK" w:cs="方正仿宋_GBK" w:hint="eastAsia"/>
          <w:sz w:val="32"/>
          <w:szCs w:val="32"/>
        </w:rPr>
        <w:t>当前我国面临复杂严峻的外贸形势，国外技术性贸易措施依然是影响我国企业出口的重要因素之一。为进一步降低技术性贸易措施对湖北出口企业可能造成的影响，推动湖北产品更好“走出去”，提高贸易便利化水平，助力企业开拓海外市场，武汉海关收集整理了近期部分境外技术性贸易措施，供外贸企业参考。现将收集的相关信息公布提示如下：</w:t>
      </w:r>
    </w:p>
    <w:tbl>
      <w:tblPr>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1384"/>
        <w:gridCol w:w="567"/>
        <w:gridCol w:w="12223"/>
      </w:tblGrid>
      <w:tr>
        <w:trPr>
          <w:trHeight w:val="593"/>
        </w:trPr>
        <w:tc>
          <w:tcPr>
            <w:tcW w:w="1384" w:type="dxa"/>
          </w:tcPr>
          <w:p>
            <w:pPr>
              <w:autoSpaceDN w:val="0"/>
              <w:jc w:val="center"/>
              <w:rPr>
                <w:rFonts w:ascii="Times New Roman" w:cs="Times New Roman" w:hAnsi="Times New Roman" w:hint="eastAsia"/>
                <w:b/>
                <w:bCs/>
              </w:rPr>
            </w:pPr>
            <w:r>
              <w:rPr>
                <w:rFonts w:ascii="Times New Roman" w:cs="Times New Roman" w:hAnsi="Times New Roman"/>
                <w:b/>
                <w:bCs/>
              </w:rPr>
              <w:t>国家</w:t>
            </w:r>
          </w:p>
          <w:p>
            <w:pPr>
              <w:autoSpaceDN w:val="0"/>
              <w:jc w:val="center"/>
              <w:rPr>
                <w:rFonts w:ascii="Times New Roman" w:cs="Times New Roman" w:hAnsi="Times New Roman"/>
                <w:b/>
                <w:bCs/>
              </w:rPr>
            </w:pPr>
            <w:r>
              <w:rPr>
                <w:rFonts w:ascii="Times New Roman" w:cs="Times New Roman" w:hAnsi="Times New Roman"/>
                <w:b/>
                <w:bCs/>
              </w:rPr>
              <w:t>（地区组织）</w:t>
            </w:r>
          </w:p>
        </w:tc>
        <w:tc>
          <w:tcPr>
            <w:tcW w:w="567" w:type="dxa"/>
          </w:tcPr>
          <w:p>
            <w:pPr>
              <w:autoSpaceDN w:val="0"/>
              <w:jc w:val="center"/>
              <w:rPr>
                <w:rFonts w:ascii="Times New Roman" w:cs="Times New Roman" w:hAnsi="Times New Roman"/>
              </w:rPr>
            </w:pPr>
            <w:r>
              <w:rPr>
                <w:rFonts w:ascii="Times New Roman" w:cs="Times New Roman" w:hAnsi="Times New Roman"/>
                <w:b/>
                <w:bCs/>
              </w:rPr>
              <w:t>序号</w:t>
            </w:r>
          </w:p>
        </w:tc>
        <w:tc>
          <w:tcPr>
            <w:tcW w:w="12223" w:type="dxa"/>
          </w:tcPr>
          <w:p>
            <w:pPr>
              <w:autoSpaceDN w:val="0"/>
              <w:jc w:val="center"/>
              <w:rPr>
                <w:rFonts w:ascii="Times New Roman" w:cs="Times New Roman" w:hAnsi="Times New Roman"/>
              </w:rPr>
            </w:pPr>
            <w:r>
              <w:rPr>
                <w:rFonts w:ascii="Times New Roman" w:cs="Times New Roman" w:hAnsi="Times New Roman"/>
                <w:b/>
                <w:bCs/>
                <w:sz w:val="28"/>
                <w:szCs w:val="28"/>
              </w:rPr>
              <w:t>提示信息</w:t>
            </w:r>
          </w:p>
        </w:tc>
      </w:tr>
      <w:tr>
        <w:tc>
          <w:tcPr>
            <w:tcW w:w="1384" w:type="dxa"/>
            <w:vMerge w:val="restart"/>
            <w:vAlign w:val="center"/>
          </w:tcPr>
          <w:p>
            <w:pPr>
              <w:widowControl/>
              <w:jc w:val="center"/>
              <w:textAlignment w:val="center"/>
              <w:rPr>
                <w:rFonts w:ascii="Times New Roman" w:cs="Times New Roman" w:hAnsi="Times New Roman"/>
                <w:color w:val="000000"/>
                <w:sz w:val="24"/>
                <w:szCs w:val="24"/>
              </w:rPr>
            </w:pPr>
            <w:r>
              <w:rPr>
                <w:rFonts w:ascii="Times New Roman" w:cs="Times New Roman" w:hAnsi="Times New Roman"/>
                <w:color w:val="000000"/>
                <w:sz w:val="24"/>
                <w:szCs w:val="24"/>
              </w:rPr>
              <w:t>美国</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w:t>
            </w:r>
          </w:p>
        </w:tc>
        <w:tc>
          <w:tcPr>
            <w:tcW w:w="12223" w:type="dxa"/>
            <w:vAlign w:val="center"/>
          </w:tcPr>
          <w:p>
            <w:pPr>
              <w:jc w:val="left"/>
              <w:rPr>
                <w:rFonts w:ascii="宋体" w:cs="宋体"/>
                <w:color w:val="000000"/>
                <w:sz w:val="22"/>
                <w:szCs w:val="22"/>
              </w:rPr>
            </w:pPr>
            <w:r>
              <w:rPr>
                <w:rFonts w:hint="eastAsia"/>
                <w:color w:val="000000"/>
                <w:sz w:val="22"/>
                <w:szCs w:val="22"/>
              </w:rPr>
              <w:t>侧面防钻撞装置：拟议规则制定的预先通知（ANPRM）。本ANPRM响应了2021年11月《基础设施投资和就业法案》（IIJA）第23011（c）条，通常称为《两党基础设施法》（BIL），该法指示部长对侧面防钻撞装置进行研究，以更好地了解其整体有效性，并评估在挂车和半挂车上安装侧面防钻撞装置的可行性、效益、成本和其他影响。BIL还指示部长在《联邦公报》通知中报告研究结果，以征求公众意见。此外，本ANPRM还回应了Marianne Karth女士和卡车安全联盟（TSC）提出的规则制定申请。</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w:t>
            </w:r>
          </w:p>
        </w:tc>
        <w:tc>
          <w:tcPr>
            <w:tcW w:w="12223" w:type="dxa"/>
            <w:vAlign w:val="center"/>
          </w:tcPr>
          <w:p>
            <w:pPr>
              <w:jc w:val="left"/>
              <w:rPr>
                <w:rFonts w:ascii="宋体" w:cs="宋体"/>
                <w:color w:val="000000"/>
                <w:sz w:val="22"/>
                <w:szCs w:val="22"/>
              </w:rPr>
            </w:pPr>
            <w:r>
              <w:rPr>
                <w:rFonts w:hint="eastAsia"/>
                <w:color w:val="000000"/>
                <w:sz w:val="22"/>
                <w:szCs w:val="22"/>
              </w:rPr>
              <w:t>国家有机计划：2023年和2024年日落复审和物质更新。内容简述：2023年和2024年日落审查和更新——本文件宣布更新美国农业部（USDA）有机法规中《国家允许和禁止物质清单》（国家清单）中列出的物质。本文件反映了2023年和2024年日落审查程序的结果，并提出了国家有机标准委员会（NOSB）通过美国农业部农产品营销服务局（AMS）提交给农业部长（部长）的建议。</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w:t>
            </w:r>
          </w:p>
        </w:tc>
        <w:tc>
          <w:tcPr>
            <w:tcW w:w="12223" w:type="dxa"/>
            <w:vAlign w:val="center"/>
          </w:tcPr>
          <w:p>
            <w:pPr>
              <w:jc w:val="left"/>
              <w:rPr>
                <w:rFonts w:ascii="宋体" w:cs="宋体"/>
                <w:color w:val="000000"/>
                <w:sz w:val="22"/>
                <w:szCs w:val="22"/>
              </w:rPr>
            </w:pPr>
            <w:r>
              <w:rPr>
                <w:rFonts w:hint="eastAsia"/>
                <w:color w:val="000000"/>
                <w:sz w:val="22"/>
                <w:szCs w:val="22"/>
              </w:rPr>
              <w:t>石油当量燃油经济性值计算：拟议规章制定通知。美国能源部（“DOE”）提议修订其关于电动汽车（或“EV”）石油当量燃油经济性值计算程序的法规，以用于美国交通部（DOT）管理的企业平均燃油经济性（CAFE）计划。本拟议规章制定通知（“NOPR”）还批准了自然资源保护委员会（NRDC）和Sierra Club提交的规章制定申请，并回应了就该申请提交的评议意见（案卷号为EERE-2021-VT-0033）。</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w:t>
            </w:r>
          </w:p>
        </w:tc>
        <w:tc>
          <w:tcPr>
            <w:tcW w:w="12223" w:type="dxa"/>
            <w:vAlign w:val="center"/>
          </w:tcPr>
          <w:p>
            <w:pPr>
              <w:jc w:val="left"/>
              <w:rPr>
                <w:rFonts w:ascii="宋体" w:cs="宋体"/>
                <w:color w:val="000000"/>
                <w:sz w:val="22"/>
                <w:szCs w:val="22"/>
              </w:rPr>
            </w:pPr>
            <w:r>
              <w:rPr>
                <w:rFonts w:hint="eastAsia"/>
                <w:color w:val="000000"/>
                <w:sz w:val="22"/>
                <w:szCs w:val="22"/>
              </w:rPr>
              <w:t>救生衣批准协调一致：拟议规则制定通知——海岸警卫队提议通过采纳新标准，来取代现存的传统标准来，以修订救生衣的批准要求和后续程序要求。海岸警卫队进一步建议修改救生衣和人员漂浮设备（PFD）的运输要求，以允许使用根据新标准批准的设备，并取消过时的设备批准要求。拟议的修正案将简化人员漂浮设备批准程序，并使制造商有机会生产更多创新设备，以满足加拿大和美国的批准要求，同时减轻批准程序和制造公司生产检查的负担。</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5</w:t>
            </w:r>
          </w:p>
        </w:tc>
        <w:tc>
          <w:tcPr>
            <w:tcW w:w="12223" w:type="dxa"/>
            <w:vAlign w:val="center"/>
          </w:tcPr>
          <w:p>
            <w:pPr>
              <w:jc w:val="left"/>
              <w:rPr>
                <w:rFonts w:ascii="宋体" w:cs="宋体"/>
                <w:color w:val="000000"/>
                <w:sz w:val="22"/>
                <w:szCs w:val="22"/>
              </w:rPr>
            </w:pPr>
            <w:r>
              <w:rPr>
                <w:rFonts w:hint="eastAsia"/>
                <w:color w:val="000000"/>
                <w:sz w:val="22"/>
                <w:szCs w:val="22"/>
              </w:rPr>
              <w:t>使用食盐代用品降低标准化食品中的钠含量法规——食品药品监督管理局（简称“FDA”或“我们”）提议修订我们的特性标准（SOI）法规，规定盐（氯化钠）为必需或可选成分，以允许在标准化食品中使用食盐代用品，从而降低钠含量。降低钠含量可能有助于降低高血压的风险，高血压是导致心脏病和中风的主要原因。拟议法规如果最终确定，将有助于为更健康的食品供应提供支持，使供应更具灵活性，促进行业在生产钠含量较低的标准化食品方面的创新，同时保持食品的基本性质和基本特征。该提案不会要求制造商用食盐代用品替代盐。相反，制造商可以选择使用食盐代用品来替代标准化食品中的盐。如果制造商选择利用这种灵活性，通过用食盐代用品替代一些盐来重新配制一些产品，则得到的主要好处将是，选择购买和消费这些重新配制的产品的美国消费者的钠消费量减少，以及制造商的利润（生产商盈余）增加（或至少利润没有减少）。此类自愿市场行为的主要成本将包括制造商的重新配方和重新贴标成本。</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6</w:t>
            </w:r>
          </w:p>
        </w:tc>
        <w:tc>
          <w:tcPr>
            <w:tcW w:w="12223" w:type="dxa"/>
            <w:vAlign w:val="center"/>
          </w:tcPr>
          <w:p>
            <w:pPr>
              <w:jc w:val="left"/>
              <w:rPr>
                <w:rFonts w:ascii="宋体" w:cs="宋体"/>
                <w:color w:val="000000"/>
                <w:sz w:val="22"/>
                <w:szCs w:val="22"/>
              </w:rPr>
            </w:pPr>
            <w:r>
              <w:rPr>
                <w:rFonts w:hint="eastAsia"/>
                <w:color w:val="000000"/>
                <w:sz w:val="22"/>
                <w:szCs w:val="22"/>
              </w:rPr>
              <w:t>拟议法规：鲜切花条例（删除与菊花白锈病有关的规定）。我方拟修订管理鲜切花进口的法规，从法规中删除特定类型鲜切花的进口要求，而将其列入美国农业部名为农产品进口要求的数据库中。对这些要求的更新将通过基于通知的程序而不是法规制定来进行。我方还提议完全取消对来自已知存在菊花白锈病（Puccinia horiana P. Henn., CWR）的国家的菊属、小白菊属和倭菊属鲜切花进口的任何限制。对于后一项提议措施，我方准备了一份分析报告，供公众审查和评议。该分析报告评估了当前监管要求在防止菊花白锈病蔓延方面的有效性，以及取消这些要求可能产生的经济影响。这些变更将使我方能够使用基于通知的简化方法来更新鲜切花的进口要求，并将取消针对鲜切花进口的菊花白锈病特定限制。</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7</w:t>
            </w:r>
          </w:p>
        </w:tc>
        <w:tc>
          <w:tcPr>
            <w:tcW w:w="12223" w:type="dxa"/>
            <w:vAlign w:val="center"/>
          </w:tcPr>
          <w:p>
            <w:pPr>
              <w:jc w:val="left"/>
              <w:rPr>
                <w:rFonts w:ascii="宋体" w:cs="宋体"/>
                <w:color w:val="000000"/>
                <w:sz w:val="22"/>
                <w:szCs w:val="22"/>
              </w:rPr>
            </w:pPr>
            <w:r>
              <w:rPr>
                <w:rFonts w:hint="eastAsia"/>
                <w:color w:val="000000"/>
                <w:sz w:val="22"/>
                <w:szCs w:val="22"/>
              </w:rPr>
              <w:t>关于抗倒酯农药限量的最终法规。本法规规定了多种商品内/表的抗倒酯的残留限量：（ppm = 百万分之）8ppm的未加工农产品三叶草和饲料以及15ppm的三叶草和干草；牲畜商品：0.03ppm的牛脂肪和牛肉；0.1ppm的牛肉副产品；0.01ppm的蛋类；0.03ppm的山羊脂肪和山羊肉；0.1ppm的山羊肉副产品；0.1 ppm的猪肉副产品；0.01ppm的牛奶；0.03ppm的马肉；0.01ppm的家禽脂肪和家禽肉类；0.1ppm的家禽肉类副产品；0.03ppm的绵羊脂肪和绵羊肉；0.1ppm的绵羊肉副产品。</w:t>
            </w:r>
          </w:p>
        </w:tc>
      </w:tr>
      <w:tr>
        <w:tc>
          <w:tcPr>
            <w:tcW w:w="1384" w:type="dxa"/>
            <w:vMerge w:val="restart"/>
            <w:vAlign w:val="center"/>
          </w:tcPr>
          <w:p>
            <w:pPr>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欧盟</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8</w:t>
            </w:r>
          </w:p>
        </w:tc>
        <w:tc>
          <w:tcPr>
            <w:tcW w:w="12223" w:type="dxa"/>
            <w:vAlign w:val="center"/>
          </w:tcPr>
          <w:p>
            <w:pPr>
              <w:jc w:val="left"/>
              <w:rPr>
                <w:rFonts w:ascii="宋体" w:cs="宋体"/>
                <w:color w:val="000000"/>
                <w:sz w:val="22"/>
                <w:szCs w:val="22"/>
              </w:rPr>
            </w:pPr>
            <w:r>
              <w:rPr>
                <w:rFonts w:hint="eastAsia"/>
                <w:color w:val="000000"/>
                <w:sz w:val="22"/>
                <w:szCs w:val="22"/>
              </w:rPr>
              <w:t>补充欧洲议会和欧盟理事会关于水果和蔬菜行业、某些加工水果和蔬菜产品和香蕉行业的销售标准的（EU）第1308/2013号法规、废除欧盟委员会（EC）第1666/1999号法规和欧盟委员会（EU）第543/2011号和（EU）第1333/2011号执行法规的欧盟委员会授权法规草案 通过合并和修订欧盟委员会（EU）第543/2011号执行法规、欧盟委员会（EU）第1333/2011号执行法规和欧盟委员会（EC）第1666/1999号法规中目前包含的销售标准规则，使这些规则与市场发展和“从农场到餐桌”战略保持一致，授权法案草案对（EU）第1308/2013号法规进行了补充。本草案废除了欧盟委员会（EU）第543/2011号执行法规、欧盟委员会（EU）第1333/2011号执行法规和欧盟委员会（EC）第1666/1999号法规。该授权法案草案使市场发展与“从农场到餐桌”战略的目标（特别是关于增加消费者信息和减少食品浪费的目标）保持一致。草案通过将水果和蔬菜立法与香蕉和干葡萄立法合并，并删除过时的规定，从而实现规则的现代化和简化。一些修正案与联合国欧洲经济委员会（UNECE）最近通过的质量标准变化相一致。</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9</w:t>
            </w:r>
          </w:p>
        </w:tc>
        <w:tc>
          <w:tcPr>
            <w:tcW w:w="12223" w:type="dxa"/>
            <w:vAlign w:val="center"/>
          </w:tcPr>
          <w:p>
            <w:pPr>
              <w:jc w:val="left"/>
              <w:rPr>
                <w:rFonts w:ascii="宋体" w:cs="宋体"/>
                <w:color w:val="000000"/>
                <w:sz w:val="22"/>
                <w:szCs w:val="22"/>
              </w:rPr>
            </w:pPr>
            <w:r>
              <w:rPr>
                <w:rFonts w:hint="eastAsia"/>
                <w:color w:val="000000"/>
                <w:sz w:val="22"/>
                <w:szCs w:val="22"/>
              </w:rPr>
              <w:t>补充欧洲议会和欧盟理事会关于禽肉销售标准的（EU）第1308/2013号法规、废除欧盟委员会（EC）第543/2008号法规的欧盟委员会授权法规草案过去十年来，农业市场在创新的推动下发生了重大变化，但也改变了社会关切和消费者的需求。销售标准的审查需要反映这些变化，因此需要进行修订。本次修订也是在欧盟委员会2020年5月“从农场到餐桌”战略和联合国可持续发展目标（第6.1节）的背景下进行的。在“从农场到餐桌”战略中，宣布对欧盟销售标准的修订将旨在促进可持续产品的使用和供应。 消费者信息、标签；防止欺骗性行为和保护消费者；质量要求</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10</w:t>
            </w:r>
          </w:p>
        </w:tc>
        <w:tc>
          <w:tcPr>
            <w:tcW w:w="12223" w:type="dxa"/>
            <w:vAlign w:val="center"/>
          </w:tcPr>
          <w:p>
            <w:pPr>
              <w:jc w:val="left"/>
              <w:rPr>
                <w:rFonts w:ascii="宋体" w:cs="宋体"/>
                <w:color w:val="000000"/>
                <w:sz w:val="22"/>
                <w:szCs w:val="22"/>
              </w:rPr>
            </w:pPr>
            <w:r>
              <w:rPr>
                <w:rFonts w:hint="eastAsia"/>
                <w:color w:val="000000"/>
                <w:sz w:val="22"/>
                <w:szCs w:val="22"/>
              </w:rPr>
              <w:t>规定了欧洲议会和欧盟理事会关于蛋类销售标准的（EU）第1308/2013号法规的适用规则的欧盟委员会执行法规草案 该提案旨在修订蛋类销售标准的通用规则。</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11</w:t>
            </w:r>
          </w:p>
        </w:tc>
        <w:tc>
          <w:tcPr>
            <w:tcW w:w="12223" w:type="dxa"/>
            <w:vAlign w:val="center"/>
          </w:tcPr>
          <w:p>
            <w:pPr>
              <w:jc w:val="left"/>
              <w:rPr>
                <w:rFonts w:ascii="宋体" w:cs="宋体"/>
                <w:color w:val="000000"/>
                <w:sz w:val="22"/>
                <w:szCs w:val="22"/>
              </w:rPr>
            </w:pPr>
            <w:r>
              <w:rPr>
                <w:rFonts w:hint="eastAsia"/>
                <w:color w:val="000000"/>
                <w:sz w:val="22"/>
                <w:szCs w:val="22"/>
              </w:rPr>
              <w:t>修订欧盟理事会关于蜂蜜的第2001/110/EC号指令、关于供人类食用的果汁和某些类似产品的第2001/112/EC号指令、关于供人类食用的果酱、果冻和橘子酱以及甜栗泥的第2001/113/EC号指令和关于供人类食用的某些部分或全部脱水的保存乳品的第2001/114/EC号指令的欧洲议会和欧盟理事会的指令提案（COM（2023）201最终版）该提案建议修订蜂蜜原产地标签的通用规则，修订果汁和某些类似产品中糖含量的营养声称，为天然产生的糖被部分去除的果汁创建一个新类别，修订用于制造果酱、果冻、额外果酱或额外果冻的水果的最低数量，并授权进行处理以生产无乳糖的乳制品。</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12</w:t>
            </w:r>
          </w:p>
        </w:tc>
        <w:tc>
          <w:tcPr>
            <w:tcW w:w="12223" w:type="dxa"/>
            <w:vAlign w:val="center"/>
          </w:tcPr>
          <w:p>
            <w:pPr>
              <w:jc w:val="left"/>
              <w:rPr>
                <w:rFonts w:ascii="宋体" w:cs="宋体"/>
                <w:color w:val="000000"/>
                <w:sz w:val="22"/>
                <w:szCs w:val="22"/>
              </w:rPr>
            </w:pPr>
            <w:r>
              <w:rPr>
                <w:rFonts w:hint="eastAsia"/>
                <w:color w:val="000000"/>
                <w:sz w:val="22"/>
                <w:szCs w:val="22"/>
              </w:rPr>
              <w:t>补充欧洲议会和欧盟理事会关于蛋类销售标准的（EU）第1308/2013号法规、废除欧盟委员会（EC）第589/2008号法规的欧盟委员会授权法规草案 该提案旨在修订蛋类销售标准的通用规则。</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13</w:t>
            </w:r>
          </w:p>
        </w:tc>
        <w:tc>
          <w:tcPr>
            <w:tcW w:w="12223" w:type="dxa"/>
            <w:vAlign w:val="center"/>
          </w:tcPr>
          <w:p>
            <w:pPr>
              <w:jc w:val="left"/>
              <w:rPr>
                <w:rFonts w:ascii="宋体" w:cs="宋体"/>
                <w:color w:val="000000"/>
                <w:sz w:val="22"/>
                <w:szCs w:val="22"/>
              </w:rPr>
            </w:pPr>
            <w:r>
              <w:rPr>
                <w:rFonts w:hint="eastAsia"/>
                <w:color w:val="000000"/>
                <w:sz w:val="22"/>
                <w:szCs w:val="22"/>
              </w:rPr>
              <w:t>规定了欧洲议会和欧盟理事会关于禽肉销售标准的（EU）第1308/2013号法规的适用规则的欧盟委员会执行法规草案 （执行）法规旨在修订禽肉销售标准的通用规则。</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14</w:t>
            </w:r>
          </w:p>
        </w:tc>
        <w:tc>
          <w:tcPr>
            <w:tcW w:w="12223" w:type="dxa"/>
            <w:vAlign w:val="center"/>
          </w:tcPr>
          <w:p>
            <w:pPr>
              <w:jc w:val="left"/>
              <w:rPr>
                <w:rFonts w:ascii="宋体" w:cs="宋体"/>
                <w:color w:val="000000"/>
                <w:sz w:val="22"/>
                <w:szCs w:val="22"/>
              </w:rPr>
            </w:pPr>
            <w:r>
              <w:rPr>
                <w:rFonts w:hint="eastAsia"/>
                <w:color w:val="000000"/>
                <w:sz w:val="22"/>
                <w:szCs w:val="22"/>
              </w:rPr>
              <w:t>修订欧洲议会和欧盟理事会关于蛋类销售标准的（EU）第1308/2013号法规的欧盟委员会授权法规草案。该法规草案引入了在生产现场对蛋进行强制性标记。</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15</w:t>
            </w:r>
          </w:p>
        </w:tc>
        <w:tc>
          <w:tcPr>
            <w:tcW w:w="12223" w:type="dxa"/>
            <w:vAlign w:val="center"/>
          </w:tcPr>
          <w:p>
            <w:pPr>
              <w:jc w:val="left"/>
              <w:rPr>
                <w:rFonts w:ascii="宋体" w:cs="宋体"/>
                <w:color w:val="000000"/>
                <w:sz w:val="22"/>
                <w:szCs w:val="22"/>
              </w:rPr>
            </w:pPr>
            <w:r>
              <w:rPr>
                <w:rFonts w:hint="eastAsia"/>
                <w:color w:val="000000"/>
                <w:sz w:val="22"/>
                <w:szCs w:val="22"/>
              </w:rPr>
              <w:t>对水果和蔬菜行业、某些加工水果和蔬菜产品和香蕉行业销售标准符合程度的检查规则做出规定的欧盟委员会执行法规草案 该执行法案通过合并和修订欧盟委员会（EU）第543/2011号执行法规、欧盟委员会（EU）第1333/2011号执行法规和欧盟委员会（EC）第1666/1999号法规中目前包含的销售标准控制规则，对（EU）第1308/2013号法规进行了补充。</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16</w:t>
            </w:r>
          </w:p>
        </w:tc>
        <w:tc>
          <w:tcPr>
            <w:tcW w:w="12223" w:type="dxa"/>
            <w:vAlign w:val="center"/>
          </w:tcPr>
          <w:p>
            <w:pPr>
              <w:jc w:val="left"/>
              <w:rPr>
                <w:rFonts w:ascii="宋体" w:cs="宋体"/>
                <w:color w:val="000000"/>
                <w:sz w:val="22"/>
                <w:szCs w:val="22"/>
              </w:rPr>
            </w:pPr>
            <w:r>
              <w:rPr>
                <w:rFonts w:hint="eastAsia"/>
                <w:color w:val="000000"/>
                <w:sz w:val="22"/>
                <w:szCs w:val="22"/>
              </w:rPr>
              <w:t>欧盟委员会关于实木镶板和覆层对火的反应的分类条件（未经测试）并修订第2006/213/EC号决定的（EU）授权法规草案。只有当材料未经处理时，（EU）第2016/364号法规规定的分类范围内的木材镶板和覆层以及木条对防火性能的反应才是明确的。因此，这些产品对防火性能的反应可以视为达到上述欧洲分类系统中定义的特定性能等级，而无需任何进一步的测试，但这种分类不能扩展到未经处理的产品。本授权法规对于防止滥用现存欧盟委员会第2006/213/EC号决议是必要的。 </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17</w:t>
            </w:r>
          </w:p>
        </w:tc>
        <w:tc>
          <w:tcPr>
            <w:tcW w:w="12223" w:type="dxa"/>
            <w:vAlign w:val="center"/>
          </w:tcPr>
          <w:p>
            <w:pPr>
              <w:jc w:val="left"/>
              <w:rPr>
                <w:rFonts w:ascii="宋体" w:cs="宋体"/>
                <w:color w:val="000000"/>
                <w:sz w:val="22"/>
                <w:szCs w:val="22"/>
              </w:rPr>
            </w:pPr>
            <w:r>
              <w:rPr>
                <w:rFonts w:hint="eastAsia"/>
                <w:color w:val="000000"/>
                <w:sz w:val="22"/>
                <w:szCs w:val="22"/>
              </w:rPr>
              <w:t>欧洲议会和欧盟理事会就修订欧洲议会和欧盟理事会关于物质和混合物的分类、标签和包装的（EC）第1272/2008号法规的法规提案（COM（2022）748最终版）。本提案涉及欧洲议会和欧盟理事会2008年12月16日关于物质和混合物的分类、标签和包装（CLP）的（EC）第1272/2008号法规的有针对性的修订，包括澄清某些规定，增加简化标签的新规定，使该法规适应在线销售和数字标签等新的市场趋势，引入多成分物质的分类规则，参考新的危险类别以及简化一些程序。其中一项新规定旨在确保所有化学品均符合CLP的要求，包括通过在线销售投放欧盟市场时。该条款草案将要求向欧盟市场投放化学品的公司要么是欧盟供应商，要么是指定供应商。此外，一些标签要求已经简化（例如，通过扩大使用外折标签的可能性），而其他要求则适应了新的销售模式（批量销售、再补充销售）。</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18</w:t>
            </w:r>
          </w:p>
        </w:tc>
        <w:tc>
          <w:tcPr>
            <w:tcW w:w="12223" w:type="dxa"/>
            <w:vAlign w:val="center"/>
          </w:tcPr>
          <w:p>
            <w:pPr>
              <w:jc w:val="left"/>
              <w:rPr>
                <w:rFonts w:ascii="宋体" w:cs="宋体"/>
                <w:color w:val="000000"/>
                <w:sz w:val="22"/>
                <w:szCs w:val="22"/>
              </w:rPr>
            </w:pPr>
            <w:r>
              <w:rPr>
                <w:rFonts w:hint="eastAsia"/>
                <w:color w:val="000000"/>
                <w:sz w:val="22"/>
                <w:szCs w:val="22"/>
              </w:rPr>
              <w:t>修订了关于脂肪酸单甘油酯和双甘油酯（E 471）规范的（EU）第231/2012号法规的欧盟委员会法规草案（与欧洲经济区相关的文本）。 本文根据欧洲食品安全局（EFSA）最近的科学意见，修订了欧盟授权的食品添加剂脂肪酸单甘油酯和双甘油脂（E 471）的规范。通过降低有毒元素的最大限值，纳入3-单氯丙二醇（3-MCPD）、3-单氯丙二醇脂肪酸酯（表示为3-MCPD）、缩水甘油脂肪酸酯（表示为缩水甘油）和芥酸的总和的最大限量，以及通过修改脂肪酸的甘油单酯和甘油二酯（E471）的定义，来调整现行规范。为了实现平稳过渡，文本规定，在六个月的过渡期内，允许使用在本法规生效之日前合法投放市场的食品添加剂脂肪酸甘油单酯和甘油二酯（E471）。含有此类食品添加剂的食品可在过渡期内继续投放市场，并可在其最短保存日期或保存期到期之前继续在市场售卖。但是，鉴于婴幼儿的脆弱性，不符合本法规规定的用于婴幼儿食品的缩水甘油脂肪酸酯最大限量的食品添加剂脂肪酸甘油单酯和甘油二酯（E471）不得在本法规生效日期之后添加到此类食品中，并且只有在该日期之前已合法上市的食品才允许销售。允许使用在本法规生效日期之后合法投放市场且符合缩水甘油脂肪酸酯（表示为缩水甘油）降低后的中间最大限量的食品添加剂脂肪酸甘油单酯和甘油二酯（E471），直到销售完含有此类食品添加剂的库存和食品（婴幼儿食品除外），并且应允许含有此类食品添加剂的食品投放市场，且可在其最短保存日期或“保质期”到期之前继续在市场上销售。</w:t>
            </w:r>
          </w:p>
        </w:tc>
      </w:tr>
      <w:tr>
        <w:tc>
          <w:tcPr>
            <w:tcW w:w="1384" w:type="dxa"/>
            <w:vMerge w:val="restart"/>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日本</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19</w:t>
            </w:r>
          </w:p>
        </w:tc>
        <w:tc>
          <w:tcPr>
            <w:tcW w:w="12223" w:type="dxa"/>
            <w:vAlign w:val="center"/>
          </w:tcPr>
          <w:p>
            <w:pPr>
              <w:jc w:val="left"/>
              <w:rPr>
                <w:rFonts w:ascii="宋体" w:cs="宋体"/>
                <w:color w:val="000000"/>
                <w:sz w:val="22"/>
                <w:szCs w:val="22"/>
              </w:rPr>
            </w:pPr>
            <w:r>
              <w:rPr>
                <w:rFonts w:hint="eastAsia"/>
                <w:color w:val="000000"/>
                <w:sz w:val="22"/>
                <w:szCs w:val="22"/>
              </w:rPr>
              <w:t>《生物制品最低要求》的部分修正案。《国家放行检测公告》的部分修正案。将对《生物制品最低要求》进行部分修订。新批准的疫苗产品：“重组新型冠状病毒（SARS-CoV-2）疫苗” 将对《国家放行检测公告》进行部分修订。将对以下疫苗的国家放行检测的费用、标准和数量进行修改：“冻干马坏疽气体抗毒素”、“重组新型冠状病毒（SARS-CoV-2）疫苗”、“冻干马白喉抗毒素”、“冻干伪蝮蛇抗蛇毒素（马）”、“冻干马肉毒杆菌抗毒素”、“冻干蝮蛇抗蛇毒素（马）”、“人血浆蛋白组分”、“人血清白蛋白”、“冻干人纤维蛋白原”、“冻干人凝血酶原复合物浓缩物”、“冻干浓缩凝血因子VIII”、“冻干活化人凝血因子VII浓缩物（含因子X）、“正常人免疫球蛋白”、“冻干离子交换树脂处理的正常人免疫球蛋白”、“冻干磺化正常人免疫球蛋白”、“pH4处理的正常人免疫球蛋白”、“pH4处理的正常人免疫球蛋白（皮下注射）”、“冻干pH4处理的正常人免疫球蛋白”、“冻干胃蛋白处理的正常人免疫球蛋白”、“聚乙二醇处理的正常人免疫球蛋白”、“冻干聚乙二醇处理的正常人免疫球蛋白”、“抗乙肝免疫球蛋白”、“冻干抗乙肝免疫球蛋白”、“聚乙二醇处理的抗乙肝免疫球蛋白”、“抗RH因子球蛋白注射液”、“冻干抗RH因子球蛋白注射液”、“破伤风免疫球蛋白”、“冻干破伤风免疫球蛋白”、“聚乙二醇处理的破伤风免疫球蛋白”、“冻干人体凝血酶III浓缩物”、“冻干人体活性蛋白 C 浓缩物”以及“重组人结合珠蛋白”。</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20</w:t>
            </w:r>
          </w:p>
        </w:tc>
        <w:tc>
          <w:tcPr>
            <w:tcW w:w="12223" w:type="dxa"/>
            <w:vAlign w:val="center"/>
          </w:tcPr>
          <w:p>
            <w:pPr>
              <w:jc w:val="left"/>
              <w:rPr>
                <w:rFonts w:ascii="宋体" w:cs="宋体"/>
                <w:color w:val="000000"/>
                <w:sz w:val="22"/>
                <w:szCs w:val="22"/>
              </w:rPr>
            </w:pPr>
            <w:r>
              <w:rPr>
                <w:rFonts w:hint="eastAsia"/>
                <w:color w:val="000000"/>
                <w:sz w:val="22"/>
                <w:szCs w:val="22"/>
              </w:rPr>
              <w:t>降低引入象耳豆根结线虫风险的紧急措施。为了防止象耳豆根结线虫传入日本，日本农林水产省将要求出口国的国家植物保护机构（NPPO）提供以下证明： 对于可用于栽培的印度月桂树（榕树）的活植物的地下部分：i)  这些植物生长在尚不知晓是否发生象耳豆根结线虫疫或已知曾经发生过象耳豆根结线虫疫但已根除的产地或生产场所（包括植物生长设施）；ii)  生长季节期间，在产地或生产现场对植物进行检验，并通过适当的线虫学试验检验植物的生长介质和地下部分，发现不含象耳豆根结线虫。因此，将要求出口国的国家植物保护机构纳入一项附加声明，声明“符合《植物保护法实施条例》（MAF第73/1950号法令）附表1-2第8项的规定”。请注意，《植物保护法实施条例》（MAF第73/1950号法令）的修订将于2023年8月1日生效，附加声明“符合《植物保护法实施条例》（MAF第73/1950号法令）附表2-2第13项的规定”应自2023年8月1日起开始实施。 </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21</w:t>
            </w:r>
          </w:p>
        </w:tc>
        <w:tc>
          <w:tcPr>
            <w:tcW w:w="12223" w:type="dxa"/>
            <w:vAlign w:val="center"/>
          </w:tcPr>
          <w:p>
            <w:pPr>
              <w:jc w:val="left"/>
              <w:rPr>
                <w:rFonts w:ascii="宋体" w:cs="宋体"/>
                <w:color w:val="000000"/>
                <w:sz w:val="22"/>
                <w:szCs w:val="22"/>
              </w:rPr>
            </w:pPr>
            <w:r>
              <w:rPr>
                <w:rFonts w:hint="eastAsia"/>
                <w:color w:val="000000"/>
                <w:sz w:val="22"/>
                <w:szCs w:val="22"/>
              </w:rPr>
              <w:t>暂停从智利、法国、匈牙利、立陶宛和美国进口活家禽、家禽肉或蛋制品。防止高致病性禽流感（HPAI）病毒传入日本，日本农林水产省根据《家畜传染病控制法》第37条和第44条等相关要求，采取了暂停进口措施。</w:t>
            </w:r>
          </w:p>
        </w:tc>
      </w:tr>
      <w:tr>
        <w:trPr>
          <w:trHeight w:val="90"/>
        </w:trP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22</w:t>
            </w:r>
          </w:p>
        </w:tc>
        <w:tc>
          <w:tcPr>
            <w:tcW w:w="12223" w:type="dxa"/>
            <w:vAlign w:val="center"/>
          </w:tcPr>
          <w:p>
            <w:pPr>
              <w:jc w:val="left"/>
              <w:rPr>
                <w:rFonts w:ascii="宋体" w:cs="宋体"/>
                <w:color w:val="000000"/>
                <w:sz w:val="22"/>
                <w:szCs w:val="22"/>
              </w:rPr>
            </w:pPr>
            <w:r>
              <w:rPr>
                <w:rFonts w:hint="eastAsia"/>
                <w:color w:val="000000"/>
                <w:sz w:val="22"/>
                <w:szCs w:val="22"/>
              </w:rPr>
              <w:t>根据《食品卫生法》对食品及食品添加剂等的规范和标准进行修订（修订农药残留标准）。关于下列农药的最大残留限量（MRL）的提案：农药：吲唑磺菌胺。</w:t>
            </w:r>
          </w:p>
        </w:tc>
      </w:tr>
      <w:tr>
        <w:tc>
          <w:tcPr>
            <w:tcW w:w="1384" w:type="dxa"/>
            <w:vAlign w:val="center"/>
          </w:tcPr>
          <w:p>
            <w:pPr>
              <w:widowControl/>
              <w:jc w:val="center"/>
              <w:textAlignment w:val="center"/>
              <w:rPr>
                <w:rFonts w:ascii="Times New Roman" w:cs="Times New Roman" w:hAnsi="Times New Roman" w:hint="eastAsia"/>
                <w:color w:val="000000"/>
                <w:sz w:val="22"/>
                <w:szCs w:val="22"/>
              </w:rPr>
            </w:pPr>
            <w:r>
              <w:rPr>
                <w:rFonts w:ascii="Times New Roman" w:cs="Times New Roman" w:hAnsi="Times New Roman" w:hint="eastAsia"/>
                <w:color w:val="000000"/>
                <w:sz w:val="22"/>
                <w:szCs w:val="22"/>
              </w:rPr>
              <w:t>哥伦比亚</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23</w:t>
            </w:r>
          </w:p>
        </w:tc>
        <w:tc>
          <w:tcPr>
            <w:tcW w:w="12223" w:type="dxa"/>
            <w:vAlign w:val="center"/>
          </w:tcPr>
          <w:p>
            <w:pPr>
              <w:jc w:val="left"/>
              <w:rPr>
                <w:rFonts w:ascii="宋体" w:cs="宋体"/>
                <w:color w:val="000000"/>
                <w:sz w:val="22"/>
                <w:szCs w:val="22"/>
              </w:rPr>
            </w:pPr>
            <w:r>
              <w:rPr>
                <w:rFonts w:hint="eastAsia"/>
                <w:color w:val="000000"/>
                <w:sz w:val="22"/>
                <w:szCs w:val="22"/>
              </w:rPr>
              <w:t>决议草案：关于供繁殖或供人类消费并供出口的水生动物的生产企业在哥伦比亚农业研究所注册的要求和程序。通报决议草案规定了供繁殖或供人类消费并供出口的水生动物的生产企业在哥伦比亚农业研究所（ICA）注册的要求和程序。</w:t>
            </w:r>
          </w:p>
        </w:tc>
      </w:tr>
      <w:tr>
        <w:tc>
          <w:tcPr>
            <w:tcW w:w="1384" w:type="dxa"/>
            <w:vMerge w:val="restart"/>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格鲁吉亚</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24</w:t>
            </w:r>
          </w:p>
        </w:tc>
        <w:tc>
          <w:tcPr>
            <w:tcW w:w="12223" w:type="dxa"/>
            <w:vAlign w:val="center"/>
          </w:tcPr>
          <w:p>
            <w:pPr>
              <w:jc w:val="left"/>
              <w:rPr>
                <w:rFonts w:ascii="宋体" w:cs="宋体"/>
                <w:color w:val="000000"/>
                <w:sz w:val="22"/>
                <w:szCs w:val="22"/>
              </w:rPr>
            </w:pPr>
            <w:r>
              <w:rPr>
                <w:rFonts w:hint="eastAsia"/>
                <w:color w:val="000000"/>
                <w:sz w:val="22"/>
                <w:szCs w:val="22"/>
              </w:rPr>
              <w:t>欧洲规范5（EN 1995-1-1:2004“木结构设计——第1-1部分：概述——通用规则和建筑规则”；EN 1995-1-2:2004“木结构设计——第1-2部分：概述——结构防火设计”；EN 1995-2:2004“木结构设计——第2部分：桥梁”）的国家附录 由木材和/或木质人造板（单独或与混凝土、钢或其他材料混合）制成的建筑和土木工程的结构设计规则。</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25</w:t>
            </w:r>
          </w:p>
        </w:tc>
        <w:tc>
          <w:tcPr>
            <w:tcW w:w="12223" w:type="dxa"/>
            <w:vAlign w:val="center"/>
          </w:tcPr>
          <w:p>
            <w:pPr>
              <w:jc w:val="left"/>
              <w:rPr>
                <w:rFonts w:ascii="宋体" w:cs="宋体"/>
                <w:color w:val="000000"/>
                <w:sz w:val="22"/>
                <w:szCs w:val="22"/>
              </w:rPr>
            </w:pPr>
            <w:r>
              <w:rPr>
                <w:rFonts w:hint="eastAsia"/>
                <w:color w:val="000000"/>
                <w:sz w:val="22"/>
                <w:szCs w:val="22"/>
              </w:rPr>
              <w:t>欧洲规范4（EN 1994-1-1:2004“钢和混凝土组合结构设计——第1-1部分：一般规则和建筑规则”；EN 1994-1-2:2004“钢和混凝土组合结构设计——第1-2部分：一般规则——结构防火设计”；EN 1994-2:2005“钢和混凝土组合结构设计——第2部分：一般规则和桥梁规则”的国家附录（NA） 组合结构设计的一般依据。</w:t>
            </w:r>
          </w:p>
        </w:tc>
      </w:tr>
      <w:tr>
        <w:tc>
          <w:tcPr>
            <w:tcW w:w="1384" w:type="dxa"/>
            <w:vMerge w:val="restart"/>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越南</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26</w:t>
            </w:r>
          </w:p>
        </w:tc>
        <w:tc>
          <w:tcPr>
            <w:tcW w:w="12223" w:type="dxa"/>
            <w:vAlign w:val="center"/>
          </w:tcPr>
          <w:p>
            <w:pPr>
              <w:jc w:val="left"/>
              <w:rPr>
                <w:rFonts w:ascii="宋体" w:cs="宋体"/>
                <w:color w:val="000000"/>
                <w:sz w:val="22"/>
                <w:szCs w:val="22"/>
              </w:rPr>
            </w:pPr>
            <w:r>
              <w:rPr>
                <w:rFonts w:hint="eastAsia"/>
                <w:color w:val="000000"/>
                <w:sz w:val="22"/>
                <w:szCs w:val="22"/>
              </w:rPr>
              <w:t>QCVN 109:2021/BGTVT《关于新组装、制造和进口汽车第五级气体污染物排放的国家技术法规》修正案草案01:2023</w:t>
            </w:r>
            <w:r>
              <w:rPr>
                <w:color w:val="000000"/>
                <w:sz w:val="22"/>
                <w:szCs w:val="22"/>
              </w:rPr>
              <w:t>。</w:t>
            </w:r>
            <w:r>
              <w:rPr>
                <w:rFonts w:hint="eastAsia"/>
                <w:color w:val="000000"/>
                <w:sz w:val="22"/>
                <w:szCs w:val="22"/>
              </w:rPr>
              <w:t>本国家技术法规修正案草案规定了在技术安全和环境保护质量控制中新组装、制造和进口汽车第五级气体污染物的排放限值、排放试验和方法、管理要求以及实施。本国家技术法规修正案草案适用于汽车生产和装配企业、汽车零部件生产和进口企业以及汽车和汽车零部件管理、检验、检测单位和机构。</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27</w:t>
            </w:r>
          </w:p>
        </w:tc>
        <w:tc>
          <w:tcPr>
            <w:tcW w:w="12223" w:type="dxa"/>
            <w:vAlign w:val="center"/>
          </w:tcPr>
          <w:p>
            <w:pPr>
              <w:jc w:val="left"/>
              <w:rPr>
                <w:rFonts w:ascii="宋体" w:cs="宋体"/>
                <w:color w:val="000000"/>
                <w:sz w:val="22"/>
                <w:szCs w:val="22"/>
              </w:rPr>
            </w:pPr>
            <w:r>
              <w:rPr>
                <w:rFonts w:hint="eastAsia"/>
                <w:color w:val="000000"/>
                <w:sz w:val="22"/>
                <w:szCs w:val="22"/>
              </w:rPr>
              <w:t>关于根据越南签署的国际条约进口的汽车和部件的质量、技术安全和环境保护检查和认证的政府法令草 该法令草案规定，对根据越南签署的国际条约进口的汽车和部件的质量、技术安全和环境保护进行检查和认证，主要包括以下条约：1.欧洲—越南自由贸易协定（EVFTA）；2.英国——越南自由贸易协定（UKVFTA）。本法令草案适用于根据越南签署的国际条约参与进口汽车和进口部件的质量、技术安全和环境保护的管理、检查和认证的进口商和机构、组织和个人。</w:t>
            </w:r>
          </w:p>
        </w:tc>
      </w:tr>
      <w:tr>
        <w:tc>
          <w:tcPr>
            <w:tcW w:w="1384" w:type="dxa"/>
            <w:vMerge w:val="restart"/>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新西兰</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28</w:t>
            </w:r>
          </w:p>
        </w:tc>
        <w:tc>
          <w:tcPr>
            <w:tcW w:w="12223" w:type="dxa"/>
            <w:vAlign w:val="center"/>
          </w:tcPr>
          <w:p>
            <w:pPr>
              <w:jc w:val="left"/>
              <w:rPr>
                <w:rFonts w:ascii="宋体" w:cs="宋体"/>
                <w:color w:val="000000"/>
                <w:sz w:val="22"/>
                <w:szCs w:val="22"/>
              </w:rPr>
            </w:pPr>
            <w:r>
              <w:rPr>
                <w:rFonts w:hint="eastAsia"/>
                <w:color w:val="000000"/>
                <w:sz w:val="22"/>
                <w:szCs w:val="22"/>
              </w:rPr>
              <w:t>经修订的《苗木进口卫生标准》。  初级产业部建议从我方所有植物种质的进口卫生标准中删除作为诊断工具的生物学检测。 生物学检测：j. （如果现有标准要求用酶联免疫吸附试验或PCR检测进行生物学检测）将不再作为对78种有害生物的酶联免疫吸附试验或PCR的补充检测；k. （如果现有标准要求将生物学检测作为唯一的检测方法）将由仅使用酶联免疫吸附试验或PCR对44种有害生物进行检测的检测方法所取代；l. 将不再作为对一种病因不明的草莓属疾病的检测方法（相反，这种有害生物将通过检查植物的症状来控制）。初级产业部还将从我方植物种质的进口卫生标准中删除所有关于生物学检测要求的指南和章节。 对于种植用草莓属、木犀榄属、李属、悬钩子属、马铃薯和葡萄属植物，我方正在从植物种质的进口卫生标准中删除25种有害生物。我方不再考虑这些有害生物在这一途径上的生物安全风险，也不再要求对植物进行这些有害生物的检测。</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29</w:t>
            </w:r>
          </w:p>
        </w:tc>
        <w:tc>
          <w:tcPr>
            <w:tcW w:w="12223" w:type="dxa"/>
            <w:vAlign w:val="center"/>
          </w:tcPr>
          <w:p>
            <w:pPr>
              <w:jc w:val="left"/>
              <w:rPr>
                <w:rFonts w:ascii="宋体" w:cs="宋体"/>
                <w:color w:val="000000"/>
                <w:sz w:val="22"/>
                <w:szCs w:val="22"/>
              </w:rPr>
            </w:pPr>
            <w:r>
              <w:rPr>
                <w:rFonts w:hint="eastAsia"/>
                <w:color w:val="000000"/>
                <w:sz w:val="22"/>
                <w:szCs w:val="22"/>
              </w:rPr>
              <w:t>种植用猕猴桃属植物的进口卫生标准。初级产业部建议从我方所有植物种质的进口卫生标准中删除作为诊断工具的生物学检测。生物学检测：d. （如果现有标准要求用酶联免疫吸附试验或PCR检测进行生物学检测）将不再作为对78种有害生物的酶联免疫吸附试验或PCR的补充检测；e. （如果现有标准要求将生物学检测作为唯一的检测方法）将由仅使用酶联免疫吸附试验或PCR对44种有害生物进行检测的检测方法所取代；f. 将不再作为对一种病因不明的草莓属疾病的检测方法（相反，这种有害生物将通过检查植物的症状来控制）。初级产业部还将从我方植物种质的进口卫生标准中删除所有关于生物学检测要求的指南和章节。对于种植用草莓属、木犀榄属、李属、悬钩子属、马铃薯和葡萄属植物，我方正在从植物种质的进口卫生标准中删除25种有害生物。我方不再考虑这些有害生物在这一途径上的生物安全风险，也不再要求对植物进行这些有害生物的检测。</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30</w:t>
            </w:r>
          </w:p>
        </w:tc>
        <w:tc>
          <w:tcPr>
            <w:tcW w:w="12223" w:type="dxa"/>
            <w:vAlign w:val="center"/>
          </w:tcPr>
          <w:p>
            <w:pPr>
              <w:jc w:val="left"/>
              <w:rPr>
                <w:rFonts w:ascii="宋体" w:cs="宋体"/>
                <w:color w:val="000000"/>
                <w:sz w:val="22"/>
                <w:szCs w:val="22"/>
              </w:rPr>
            </w:pPr>
            <w:r>
              <w:rPr>
                <w:rFonts w:hint="eastAsia"/>
                <w:color w:val="000000"/>
                <w:sz w:val="22"/>
                <w:szCs w:val="22"/>
              </w:rPr>
              <w:t>经修订的《播种用种子的进口卫生标准》。级产业部建议从我方所有植物种质的进口卫生标准中删除作为诊断工具的生物学检测。生物学检测：p. （如果现有标准要求用酶联免疫吸附试验或PCR检测进行生物学检测）将不再作为对78种有害生物的酶联免疫吸附试验或PCR的补充检测；q. （如果现有标准要求将生物学检测作为唯一的检测方法）将由仅使用酶联免疫吸附试验或PCR对44种有害生物进行检测的检测方法所取代；r.   将不再作为对一种病因不明的草莓属疾病的检测方法（相反，这种有害生物将通过检查植物的症状来控制）。初级产业部还将从我方植物种质的进口卫生标准中删除所有关于生物学检测要求的指南和章节。对于种植用草莓属、木犀榄属、李属、悬钩子属、马铃薯和葡萄属植物，我方正在从植物种质的进口卫生标准中删除25种有害生物。我方不再考虑这些有害生物在这一途径上的生物安全风险，也不再要求对植物进行这些有害生物的检测。</w:t>
            </w:r>
          </w:p>
        </w:tc>
      </w:tr>
      <w:tr>
        <w:tc>
          <w:tcPr>
            <w:tcW w:w="1384" w:type="dxa"/>
            <w:vMerge w:val="restart"/>
            <w:vAlign w:val="center"/>
          </w:tcPr>
          <w:p>
            <w:pPr>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泰国</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31</w:t>
            </w:r>
          </w:p>
        </w:tc>
        <w:tc>
          <w:tcPr>
            <w:tcW w:w="12223" w:type="dxa"/>
            <w:vAlign w:val="center"/>
          </w:tcPr>
          <w:p>
            <w:pPr>
              <w:jc w:val="left"/>
              <w:rPr>
                <w:rFonts w:ascii="宋体" w:cs="宋体"/>
                <w:color w:val="000000"/>
                <w:sz w:val="22"/>
                <w:szCs w:val="22"/>
              </w:rPr>
            </w:pPr>
            <w:r>
              <w:rPr>
                <w:rFonts w:hint="eastAsia"/>
                <w:color w:val="000000"/>
                <w:sz w:val="22"/>
                <w:szCs w:val="22"/>
              </w:rPr>
              <w:t>泰国畜牧发展部下令暂停从波兰进口活家禽和家禽胴体，以防止高致病性禽流感（H5N1亚型）的传播。根据2023年1月10日《政府公报》的公告，暂停从波兰进口活家禽和家禽胴体的规定已于2023年4月10日到期。但是，世界动物卫生组织报告称，波兰境内暴发了高致病性禽流感（HPAI）疫情。因此，泰国有必要防止高致病性禽流感（HPAI）疫病传入国内。根据佛历2558年（公历2015年）《动物疫病法》，自在《泰国皇家公报》上公布之日起（2023年4月18日），暂停从波兰进口活家禽和家禽胴体，为期90天。</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32</w:t>
            </w:r>
          </w:p>
        </w:tc>
        <w:tc>
          <w:tcPr>
            <w:tcW w:w="12223" w:type="dxa"/>
            <w:vAlign w:val="center"/>
          </w:tcPr>
          <w:p>
            <w:pPr>
              <w:jc w:val="left"/>
              <w:rPr>
                <w:rFonts w:ascii="宋体" w:cs="宋体"/>
                <w:color w:val="000000"/>
                <w:sz w:val="22"/>
                <w:szCs w:val="22"/>
              </w:rPr>
            </w:pPr>
            <w:r>
              <w:rPr>
                <w:rFonts w:hint="eastAsia"/>
                <w:color w:val="000000"/>
                <w:sz w:val="22"/>
                <w:szCs w:val="22"/>
              </w:rPr>
              <w:t>泰国畜牧发展部下令暂停从法国进口活家禽和家禽胴体，以防止高致病性禽流感（H5N1亚型）的传播。 根据2022年12月26日《政府公报》的公告，暂停从法国进口活家禽和家禽胴体的规定已于2023年3月26日到期。但是，世界动物卫生组织报告称，法国境内暴发了高致病性禽流感（HPAI）疫情。因此，泰国有必要防止高致病性禽流感（HPAI）疫病传入国内。根据佛历2558年（公历2015年）《动物疫病法》，自在《泰国皇家公报》上公布之日起（2023年4月5日），暂时停止从法国的以下地区进口活家禽和家禽胴体，为期90天：旺代省、沃克吕兹省、塔恩-加龙省、德塞夫勒省、曼恩-卢瓦尔省、大西洋卢瓦尔省、热尔省、厄尔省以及阿摩尔滨海省。</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33</w:t>
            </w:r>
          </w:p>
        </w:tc>
        <w:tc>
          <w:tcPr>
            <w:tcW w:w="12223" w:type="dxa"/>
            <w:vAlign w:val="center"/>
          </w:tcPr>
          <w:p>
            <w:pPr>
              <w:jc w:val="left"/>
              <w:rPr>
                <w:rFonts w:ascii="宋体" w:cs="宋体"/>
                <w:color w:val="000000"/>
                <w:sz w:val="22"/>
                <w:szCs w:val="22"/>
              </w:rPr>
            </w:pPr>
            <w:r>
              <w:rPr>
                <w:rFonts w:hint="eastAsia"/>
                <w:color w:val="000000"/>
                <w:sz w:val="22"/>
                <w:szCs w:val="22"/>
              </w:rPr>
              <w:t>泰国畜牧发展部下令暂停从英国进口活家禽和家禽胴体，以防止高致病性禽流感（H5N1亚型）的传播。根据2022年12月20日《政府公报》的公告，自2022年12月21日和2023年1月10日起暂停从英国进口活家禽和家禽胴体的规定已于2023年3月20日到期。但是，世界动物卫生组织报告称，在英国境内持续暴发高致病性禽流感（HPAI）疫情。因此，泰国有必要防止高致病性禽流感（HPAI）疫病传入国内。根据佛历2558年（公历2015年）《动物疫病法》，自在《泰国皇家公报》上公布之日起（2023年4月5日），暂时停止从英国的以下地区进口活家禽和家禽胴体，为期90天：埃塞克斯郡、诺福克郡、兰开夏郡、约克郡、林肯郡、萨塞克斯郡、北安普敦郡、德比郡、西米德兰兹郡、斯塔福德郡、乌斯特郡、赫里福郡、坎布里亚郡、阿伯丁郡、邓弗里斯-加洛韦行政区以及法夫郡。</w:t>
            </w:r>
          </w:p>
        </w:tc>
      </w:tr>
      <w:tr>
        <w:trPr>
          <w:trHeight w:val="90"/>
        </w:trPr>
        <w:tc>
          <w:tcPr>
            <w:tcW w:w="1384" w:type="dxa"/>
            <w:vMerge w:val="restart"/>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智利</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34</w:t>
            </w:r>
          </w:p>
        </w:tc>
        <w:tc>
          <w:tcPr>
            <w:tcW w:w="12223" w:type="dxa"/>
            <w:vAlign w:val="center"/>
          </w:tcPr>
          <w:p>
            <w:pPr>
              <w:jc w:val="left"/>
              <w:rPr>
                <w:rFonts w:ascii="宋体" w:cs="宋体"/>
                <w:color w:val="000000"/>
                <w:sz w:val="22"/>
                <w:szCs w:val="22"/>
              </w:rPr>
            </w:pPr>
            <w:r>
              <w:rPr>
                <w:rFonts w:hint="eastAsia"/>
                <w:color w:val="000000"/>
                <w:sz w:val="22"/>
                <w:szCs w:val="22"/>
              </w:rPr>
              <w:t>工业罐头肉制品及其衍生产品入境智利的卫生要求，并废除所述豁免决议。  本标准草案为入境智利的罐装动物产品及其衍生产品规定了以下卫生要求，但不影响遵守其他主管当局的要求：1. 就本决议而言，“罐头产品”应理解为任何经过工业加工、保证商业无菌性并装在密封容器中的供人类食用的动物产品。2. 罐头产品必须来自原产地主管卫生当局授权的机构，并且必须附有该卫生当局颁发的官方卫生证书，该证书证明罐头产品符合卫生要求，并注明产地和加工机构、产品标识、数量、加工日期、收货人和包装数量。3.罐头产品必须贴有适当的标签，标明产品、产品数量或净重、原产地和加工企业。4.  这些产品必须用确保保持卫生和健康条件的车辆或车厢从其加工企业运输到智利的目的地。5.  罐头产品抵达智利后，在合理的情况下会受到农业和畜牧业服务部的管制和检查，费用由用户承担。6.  通报案文废除了1993年第395号豁免决议，该决议规定了罐装肉制品及其衍生产品入境智利的卫生要求。</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35</w:t>
            </w:r>
          </w:p>
        </w:tc>
        <w:tc>
          <w:tcPr>
            <w:tcW w:w="12223" w:type="dxa"/>
            <w:vAlign w:val="center"/>
          </w:tcPr>
          <w:p>
            <w:pPr>
              <w:jc w:val="left"/>
              <w:rPr>
                <w:rFonts w:ascii="宋体" w:cs="宋体"/>
                <w:color w:val="000000"/>
                <w:sz w:val="22"/>
                <w:szCs w:val="22"/>
              </w:rPr>
            </w:pPr>
            <w:r>
              <w:rPr>
                <w:rFonts w:hint="eastAsia"/>
                <w:color w:val="000000"/>
                <w:sz w:val="22"/>
                <w:szCs w:val="22"/>
              </w:rPr>
              <w:t>海鸟粪便入境智利的卫生要求和废除1991年第686号豁免决议。通报措施草案规定了海鸟粪便入境智利的以下卫生要求：1. 海鸟粪便必须经过特殊处理，以确保高致病性禽流感病毒和鸡新城疫病毒的灭活，并且随后不得接触这些疾病的来源。2.通报的措施草案还涉及运输条件、卫生认证、所需的集装箱以及在海鸟粪便抵达该国时农业和畜牧业服务部所需的检查和检验。3. 此外，本标准草案不影响现行立法的规定，特别是第21.349号法律，该法律规定了肥料和生物刺激素的成分、标签和销售标准。4. 最后，本通报案文还废除了1991年第686号豁免决议，该决议规定了进口海鸟粪便的卫生要求。</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36</w:t>
            </w:r>
          </w:p>
        </w:tc>
        <w:tc>
          <w:tcPr>
            <w:tcW w:w="12223" w:type="dxa"/>
            <w:vAlign w:val="center"/>
          </w:tcPr>
          <w:p>
            <w:pPr>
              <w:jc w:val="left"/>
              <w:rPr>
                <w:rFonts w:ascii="宋体" w:cs="宋体"/>
                <w:color w:val="000000"/>
                <w:sz w:val="22"/>
                <w:szCs w:val="22"/>
              </w:rPr>
            </w:pPr>
            <w:r>
              <w:rPr>
                <w:rFonts w:hint="eastAsia"/>
                <w:color w:val="000000"/>
                <w:sz w:val="22"/>
                <w:szCs w:val="22"/>
              </w:rPr>
              <w:t>工业罐头肉制品及其衍生产品入境智利的卫生要求，并废除所述豁免决议。本标准草案为入境智利的罐装动物产品及其衍生产品规定了以下卫生要求，但不影响遵守其他主管当局的要求：1. 就本决议而言，“罐头产品”应理解为任何经过工业加工、保证商业无菌性并装在密封容器中的供人类食用的动物产品。2. 罐头产品必须来自原产地主管卫生当局授权的机构，并且必须附有该卫生当局颁发的官方卫生证书，该证书证明罐头产品符合卫生要求，并注明产地和加工机构、产品标识、数量、加工日期、收货人和包装数量。3. 罐头产品必须贴有适当的标签，标明产品、产品数量或净重、原产地和加工企业。4.这些产品必须用确保保持卫生和健康条件的车辆或车厢从其加工企业运输到智利的目的地。5. 罐头产品抵达智利后，在合理的情况下会受到农业和畜牧业服务部的管制和检查，费用由用户承担。6. 通报案文废除了1993年第395号豁免决议，该决议规定了罐装肉制品及其衍生产品入境智利的卫生要求。</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37</w:t>
            </w:r>
          </w:p>
        </w:tc>
        <w:tc>
          <w:tcPr>
            <w:tcW w:w="12223" w:type="dxa"/>
            <w:vAlign w:val="center"/>
          </w:tcPr>
          <w:p>
            <w:pPr>
              <w:jc w:val="left"/>
              <w:rPr>
                <w:rFonts w:ascii="宋体" w:cs="宋体"/>
                <w:color w:val="000000"/>
                <w:sz w:val="22"/>
                <w:szCs w:val="22"/>
              </w:rPr>
            </w:pPr>
            <w:r>
              <w:rPr>
                <w:rFonts w:hint="eastAsia"/>
                <w:color w:val="000000"/>
                <w:sz w:val="22"/>
                <w:szCs w:val="22"/>
              </w:rPr>
              <w:t>承认Micro Paradox公司作为美国向智利出口某些开心果植物物种的生产中心  认可决议中列出的在美国植物检疫当局注册并经其批准的生产中心；确定每个物种的植物检疫要求和附加声明；SAG要求的证明不存在植物病原体的相关分析必须由加利福尼亚州食品和农业部（CDFA）进行，以及认可这些产品的授权入境点。它还说明了继续认可的条件、审核和有效期。</w:t>
            </w:r>
          </w:p>
        </w:tc>
      </w:tr>
      <w:tr>
        <w:tc>
          <w:tcPr>
            <w:tcW w:w="1384" w:type="dxa"/>
            <w:vMerge w:val="restart"/>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阿根廷</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38</w:t>
            </w:r>
          </w:p>
        </w:tc>
        <w:tc>
          <w:tcPr>
            <w:tcW w:w="12223" w:type="dxa"/>
            <w:vAlign w:val="center"/>
          </w:tcPr>
          <w:p>
            <w:pPr>
              <w:jc w:val="left"/>
              <w:rPr>
                <w:rFonts w:ascii="宋体" w:cs="宋体"/>
                <w:color w:val="000000"/>
                <w:sz w:val="22"/>
                <w:szCs w:val="22"/>
              </w:rPr>
            </w:pPr>
            <w:r>
              <w:rPr>
                <w:rFonts w:hint="eastAsia"/>
                <w:color w:val="000000"/>
                <w:sz w:val="22"/>
                <w:szCs w:val="22"/>
              </w:rPr>
              <w:t>将关于发酵李子饮料的第十三章第1107条之二纳入《阿根廷食品法典》”的联合决议草案</w:t>
            </w:r>
            <w:r>
              <w:rPr>
                <w:color w:val="000000"/>
                <w:sz w:val="22"/>
                <w:szCs w:val="22"/>
              </w:rPr>
              <w:t>。</w:t>
            </w:r>
            <w:r>
              <w:rPr>
                <w:rFonts w:hint="eastAsia"/>
                <w:color w:val="000000"/>
                <w:sz w:val="22"/>
                <w:szCs w:val="22"/>
              </w:rPr>
              <w:t>通报的联合决议草案包括发酵李子饮料的定义和物理化学特性。产品名称应为“发酵李子饮料”。</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39</w:t>
            </w:r>
          </w:p>
        </w:tc>
        <w:tc>
          <w:tcPr>
            <w:tcW w:w="12223" w:type="dxa"/>
            <w:vAlign w:val="center"/>
          </w:tcPr>
          <w:p>
            <w:pPr>
              <w:jc w:val="left"/>
              <w:rPr>
                <w:rFonts w:ascii="宋体" w:cs="宋体"/>
                <w:color w:val="000000"/>
                <w:sz w:val="22"/>
                <w:szCs w:val="22"/>
              </w:rPr>
            </w:pPr>
            <w:r>
              <w:rPr>
                <w:rFonts w:hint="eastAsia"/>
                <w:color w:val="000000"/>
                <w:sz w:val="22"/>
                <w:szCs w:val="22"/>
              </w:rPr>
              <w:t>“将第十二章：植物饮料第1010条纳入阿根廷食品法典”的联合决议草案</w:t>
            </w:r>
            <w:r>
              <w:rPr>
                <w:color w:val="000000"/>
                <w:sz w:val="22"/>
                <w:szCs w:val="22"/>
              </w:rPr>
              <w:t>。</w:t>
            </w:r>
            <w:r>
              <w:rPr>
                <w:rFonts w:hint="eastAsia"/>
                <w:color w:val="000000"/>
                <w:sz w:val="22"/>
                <w:szCs w:val="22"/>
              </w:rPr>
              <w:t>通报的联合决议草案包括植物饮料的定义、销售说明、成分和物理化学特性。</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40</w:t>
            </w:r>
          </w:p>
        </w:tc>
        <w:tc>
          <w:tcPr>
            <w:tcW w:w="12223" w:type="dxa"/>
            <w:vAlign w:val="center"/>
          </w:tcPr>
          <w:p>
            <w:pPr>
              <w:jc w:val="left"/>
              <w:rPr>
                <w:rFonts w:ascii="宋体" w:cs="宋体"/>
                <w:color w:val="000000"/>
                <w:sz w:val="22"/>
                <w:szCs w:val="22"/>
              </w:rPr>
            </w:pPr>
            <w:r>
              <w:rPr>
                <w:rFonts w:hint="eastAsia"/>
                <w:color w:val="000000"/>
                <w:sz w:val="22"/>
                <w:szCs w:val="22"/>
              </w:rPr>
              <w:t>修正《阿根廷食品法典》第六章——肉类和类似食品——腌制鱼类和其他水产品”的联合决议草案。通报的联合决议草案更新了第451、454、456、457和463条，删除了第453条，并纳入了第473条之二。</w:t>
            </w:r>
          </w:p>
        </w:tc>
      </w:tr>
      <w:tr>
        <w:tc>
          <w:tcPr>
            <w:tcW w:w="1384" w:type="dxa"/>
            <w:vMerge w:val="restart"/>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亚美尼亚</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41</w:t>
            </w:r>
          </w:p>
        </w:tc>
        <w:tc>
          <w:tcPr>
            <w:tcW w:w="12223" w:type="dxa"/>
            <w:vAlign w:val="center"/>
          </w:tcPr>
          <w:p>
            <w:pPr>
              <w:jc w:val="left"/>
              <w:rPr>
                <w:rFonts w:ascii="宋体" w:cs="宋体"/>
                <w:color w:val="000000"/>
                <w:sz w:val="22"/>
                <w:szCs w:val="22"/>
              </w:rPr>
            </w:pPr>
            <w:r>
              <w:rPr>
                <w:rFonts w:hint="eastAsia"/>
                <w:color w:val="000000"/>
                <w:sz w:val="22"/>
                <w:szCs w:val="22"/>
              </w:rPr>
              <w:t>欧亚经济委员会理事会关于修正欧亚经济委员会理事会1月21日第1号决定的决定草案。草案规定，通过确定兽药流通主体的过渡期，确保分阶段过渡到实施欧亚经济委员会理事会2016年11月3日第76号决议批准的《人用药品和兽药产品标签要求》，以及欧亚经济委员会理事会2016年11月3日第77号决议批准的《欧亚经济联盟良好生产规范规则》。</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42</w:t>
            </w:r>
          </w:p>
        </w:tc>
        <w:tc>
          <w:tcPr>
            <w:tcW w:w="12223" w:type="dxa"/>
            <w:vAlign w:val="center"/>
          </w:tcPr>
          <w:p>
            <w:pPr>
              <w:jc w:val="left"/>
              <w:rPr>
                <w:rFonts w:ascii="宋体" w:cs="宋体"/>
                <w:color w:val="000000"/>
                <w:sz w:val="22"/>
                <w:szCs w:val="22"/>
              </w:rPr>
            </w:pPr>
            <w:r>
              <w:rPr>
                <w:rFonts w:hint="eastAsia"/>
                <w:color w:val="000000"/>
                <w:sz w:val="22"/>
                <w:szCs w:val="22"/>
              </w:rPr>
              <w:t>欧亚经济委员会理事会关于欧亚经济联盟关税区《兽用消毒剂、杀虫剂和杀螨剂产品流通的监管条例》的决定草案。 该草案规定了在欧亚经济联盟关税区内不直接接触动物（用于兽药体外试验）的兽用消毒剂、杀虫剂和杀螨剂产品流通的监管条例</w:t>
            </w:r>
            <w:r>
              <w:rPr>
                <w:color w:val="000000"/>
                <w:sz w:val="22"/>
                <w:szCs w:val="22"/>
              </w:rPr>
              <w:t>。</w:t>
            </w:r>
          </w:p>
        </w:tc>
      </w:tr>
      <w:tr>
        <w:tc>
          <w:tcPr>
            <w:tcW w:w="1384" w:type="dxa"/>
            <w:vMerge w:val="restart"/>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印度</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43</w:t>
            </w:r>
          </w:p>
        </w:tc>
        <w:tc>
          <w:tcPr>
            <w:tcW w:w="12223" w:type="dxa"/>
            <w:vAlign w:val="center"/>
          </w:tcPr>
          <w:p>
            <w:pPr>
              <w:jc w:val="left"/>
              <w:rPr>
                <w:rFonts w:ascii="宋体" w:cs="宋体"/>
                <w:color w:val="000000"/>
                <w:sz w:val="22"/>
                <w:szCs w:val="22"/>
              </w:rPr>
            </w:pPr>
            <w:r>
              <w:rPr>
                <w:rFonts w:hint="eastAsia"/>
                <w:color w:val="000000"/>
                <w:sz w:val="22"/>
                <w:szCs w:val="22"/>
              </w:rPr>
              <w:t>螺栓、螺母和紧固件（质量控制）令（2023年）。内容简述：紧固件是将两个或多个物体机械地连接或固定在一起的硬件设备。一般来说，紧固件用于形成非永久性接头；即在不损坏连接部件的情况下可以移除或拆卸的接头。螺栓是一种带螺纹轴的机械紧固件。螺栓与螺钉密切相关，螺钉也是带螺纹轴的机械紧固件。这些类型的紧固件通常插入孔对齐的两个零件。螺母是一种带螺纹孔的机械紧固件。它连接到螺栓、螺钉或螺柱上，以提供夹紧力并防止轴向移动。例如，将螺栓插入两个孔对齐的零件，然后将螺母拧到螺栓上。螺栓的轴防止零件的径向移动，而螺栓的头部和螺母一起防止轴向移动。 螺钉是一种金属紧固件，具有带螺旋螺纹的锥形柄，顶部带有一槽头，通过旋转，特别是通过螺丝刀，被插入木材等材料中。</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44</w:t>
            </w:r>
          </w:p>
        </w:tc>
        <w:tc>
          <w:tcPr>
            <w:tcW w:w="12223" w:type="dxa"/>
            <w:vAlign w:val="center"/>
          </w:tcPr>
          <w:p>
            <w:pPr>
              <w:jc w:val="left"/>
              <w:rPr>
                <w:rFonts w:ascii="宋体" w:cs="宋体"/>
                <w:color w:val="000000"/>
                <w:sz w:val="22"/>
                <w:szCs w:val="22"/>
              </w:rPr>
            </w:pPr>
            <w:r>
              <w:rPr>
                <w:rFonts w:hint="eastAsia"/>
                <w:color w:val="000000"/>
                <w:sz w:val="22"/>
                <w:szCs w:val="22"/>
              </w:rPr>
              <w:t>点火器（质量控制）令（2023年）。打火机是一种产生火焰的便携式设备，可用于点燃各种物品，如香烟、气体打火机、烟花、蜡烛或篝火。它由一个装满易燃液体或压缩气体的金属或塑料容器、一种产生火焰的点火装置以及一些灭火装置组成。打火机有两种类型，一种是根据IS/ISO 9994:2018用于香烟、雪茄等，另一种是按照IS/ISO22702:2018用于家用。</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45</w:t>
            </w:r>
          </w:p>
        </w:tc>
        <w:tc>
          <w:tcPr>
            <w:tcW w:w="12223" w:type="dxa"/>
            <w:vAlign w:val="center"/>
          </w:tcPr>
          <w:p>
            <w:pPr>
              <w:jc w:val="left"/>
              <w:rPr>
                <w:rFonts w:ascii="宋体" w:cs="宋体"/>
                <w:color w:val="000000"/>
                <w:sz w:val="22"/>
                <w:szCs w:val="22"/>
              </w:rPr>
            </w:pPr>
            <w:r>
              <w:rPr>
                <w:rFonts w:hint="eastAsia"/>
                <w:color w:val="000000"/>
                <w:sz w:val="22"/>
                <w:szCs w:val="22"/>
              </w:rPr>
              <w:t>饮用水瓶（质量控制）令（2023年）。根据IS 17803:2022，基于瓶子材料（铜、不锈钢、铝）、标称容量和铝体涂层（阳极氧化、硬阳极氧化、涂层）将饮用水瓶分为不同种类。</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46</w:t>
            </w:r>
          </w:p>
        </w:tc>
        <w:tc>
          <w:tcPr>
            <w:tcW w:w="12223" w:type="dxa"/>
            <w:vAlign w:val="center"/>
          </w:tcPr>
          <w:p>
            <w:pPr>
              <w:jc w:val="left"/>
              <w:rPr>
                <w:rFonts w:ascii="宋体" w:cs="宋体"/>
                <w:color w:val="000000"/>
                <w:sz w:val="22"/>
                <w:szCs w:val="22"/>
              </w:rPr>
            </w:pPr>
            <w:r>
              <w:rPr>
                <w:rFonts w:hint="eastAsia"/>
                <w:color w:val="000000"/>
                <w:sz w:val="22"/>
                <w:szCs w:val="22"/>
              </w:rPr>
              <w:t>智能仪表（质量控制）令（2023年）。智能仪表是一种记录电能消耗、电压水平、电流和功率因数等信息的电子设备。智能仪表将信息传达给用户，以便其更清楚地了解自己的消费行为，并将信息传达给电力供应商，以便供应商进行系统监控和用户计费。通常情况下，智能仪表能实时记录电能，并全天定期、短时间间隔地进行报告。</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47</w:t>
            </w:r>
          </w:p>
        </w:tc>
        <w:tc>
          <w:tcPr>
            <w:tcW w:w="12223" w:type="dxa"/>
            <w:vAlign w:val="center"/>
          </w:tcPr>
          <w:p>
            <w:pPr>
              <w:jc w:val="left"/>
              <w:rPr>
                <w:rFonts w:ascii="宋体" w:cs="宋体"/>
                <w:color w:val="000000"/>
                <w:sz w:val="22"/>
                <w:szCs w:val="22"/>
              </w:rPr>
            </w:pPr>
            <w:r>
              <w:rPr>
                <w:rFonts w:hint="eastAsia"/>
                <w:color w:val="000000"/>
                <w:sz w:val="22"/>
                <w:szCs w:val="22"/>
              </w:rPr>
              <w:t>焊丝、焊条和焊接电极（质量控制）令（2023年）。焊条用于屏蔽金属电弧焊（SMAW），也称为粘结焊。焊条也可以称为焊接电极。焊条是一种矿物和金属粉末涂层的金属焊条。焊条有两个用途：为工件提供填充金属和为电弧传导电流。 焊接电极是在化学涂层上烘烤的金属丝。焊条用于维持焊接电弧，并提供待焊接接头所需的填充金属。涂层保护金属免受损坏，稳定电弧并改善焊缝。</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48</w:t>
            </w:r>
          </w:p>
        </w:tc>
        <w:tc>
          <w:tcPr>
            <w:tcW w:w="12223" w:type="dxa"/>
            <w:vAlign w:val="center"/>
          </w:tcPr>
          <w:p>
            <w:pPr>
              <w:jc w:val="left"/>
              <w:rPr>
                <w:rFonts w:ascii="宋体" w:cs="宋体"/>
                <w:color w:val="000000"/>
                <w:sz w:val="22"/>
                <w:szCs w:val="22"/>
              </w:rPr>
            </w:pPr>
            <w:r>
              <w:rPr>
                <w:rFonts w:hint="eastAsia"/>
                <w:color w:val="000000"/>
                <w:sz w:val="22"/>
                <w:szCs w:val="22"/>
              </w:rPr>
              <w:t>家用保温杯、保温瓶和保温容器（质量控制）令（2023年）。根据印度标准IS 17526:2021《家用不锈钢真空杯/瓶》，家用保温杯/瓶/容器根据类型（如广口/窄口，容量为1000ml至1000ml（含）以上）分为不同种类。印度标准IS 17790:2022《家用保温杯》根据内外容器均为不锈钢、内容器为不锈钢且外容器为塑料，将保温杯分为不同种类。印度标准IS 17569:2021《食品储存用保温容器》根据材料，如外侧为塑料且内侧为不锈钢、两侧军均为不锈钢、两侧均为塑料，将此类保温容器分为不同种类。</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49</w:t>
            </w:r>
          </w:p>
        </w:tc>
        <w:tc>
          <w:tcPr>
            <w:tcW w:w="12223" w:type="dxa"/>
            <w:vAlign w:val="center"/>
          </w:tcPr>
          <w:p>
            <w:pPr>
              <w:jc w:val="left"/>
              <w:rPr>
                <w:rFonts w:ascii="宋体" w:cs="宋体"/>
                <w:color w:val="000000"/>
                <w:sz w:val="22"/>
                <w:szCs w:val="22"/>
              </w:rPr>
            </w:pPr>
            <w:r>
              <w:rPr>
                <w:rFonts w:hint="eastAsia"/>
                <w:color w:val="000000"/>
                <w:sz w:val="22"/>
                <w:szCs w:val="22"/>
              </w:rPr>
              <w:t>《2023年食品安全和标准（婴儿营养食品）修正案法规》。《2023年食品安全和标准（婴儿营养食品）修正案法规》规定了硒、铁、生物素和锰的限量。</w:t>
            </w:r>
          </w:p>
        </w:tc>
      </w:tr>
      <w:tr>
        <w:tc>
          <w:tcPr>
            <w:tcW w:w="1384" w:type="dxa"/>
            <w:vMerge w:val="restart"/>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塞内加尔</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50</w:t>
            </w:r>
          </w:p>
        </w:tc>
        <w:tc>
          <w:tcPr>
            <w:tcW w:w="12223" w:type="dxa"/>
            <w:vAlign w:val="center"/>
          </w:tcPr>
          <w:p>
            <w:pPr>
              <w:jc w:val="left"/>
              <w:rPr>
                <w:rFonts w:ascii="宋体" w:cs="宋体"/>
                <w:color w:val="000000"/>
                <w:sz w:val="22"/>
                <w:szCs w:val="22"/>
              </w:rPr>
            </w:pPr>
            <w:r>
              <w:rPr>
                <w:rFonts w:hint="eastAsia"/>
                <w:color w:val="000000"/>
                <w:sz w:val="22"/>
                <w:szCs w:val="22"/>
              </w:rPr>
              <w:t>关于织物质量控制和加工产品的C/REG.XX/YY/ZZ法规。通报的技术法规规定了织物和纺织公司在合同中如何参考适用于其产品质量控制的技术规范。为了考虑到法规、标准和买方需求的变化，通报文本更新了适用于西非经共体成员国织物和加工产品质量控制的技术规范。对织物、纺织品和服装质量控制的技术要求做出了规定</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51</w:t>
            </w:r>
          </w:p>
        </w:tc>
        <w:tc>
          <w:tcPr>
            <w:tcW w:w="12223" w:type="dxa"/>
            <w:vAlign w:val="center"/>
          </w:tcPr>
          <w:p>
            <w:pPr>
              <w:jc w:val="left"/>
              <w:rPr>
                <w:rFonts w:ascii="宋体" w:cs="宋体"/>
                <w:color w:val="000000"/>
              </w:rPr>
            </w:pPr>
            <w:r>
              <w:rPr>
                <w:rFonts w:hint="eastAsia"/>
                <w:color w:val="000000"/>
              </w:rPr>
              <w:t> 关于儿童纺织品销售的C/REG.XX/YY/ZZ法规。通报的技术法规旨在确保每个意在西非经共体成员国销售儿童服装的进口商遵守服装安全义务、标签要求和西非经共体包装规则，并确保儿童服装不含任何可能对健康和环境有害的化学物质。</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52</w:t>
            </w:r>
          </w:p>
        </w:tc>
        <w:tc>
          <w:tcPr>
            <w:tcW w:w="12223" w:type="dxa"/>
            <w:vAlign w:val="center"/>
          </w:tcPr>
          <w:p>
            <w:pPr>
              <w:jc w:val="left"/>
              <w:rPr>
                <w:rFonts w:ascii="宋体" w:cs="宋体"/>
                <w:color w:val="000000"/>
                <w:sz w:val="22"/>
                <w:szCs w:val="22"/>
              </w:rPr>
            </w:pPr>
            <w:r>
              <w:rPr>
                <w:rFonts w:hint="eastAsia"/>
                <w:color w:val="000000"/>
                <w:sz w:val="22"/>
                <w:szCs w:val="22"/>
              </w:rPr>
              <w:t>关于在纺织品中使用染料的C/REG.XX/YY/ZZ法规。通报的技术法规草案旨在：-减少与纺织品制造链中涉及的主要工序（即纤维生产、纺纱、织造、针织、漂白、染色和整理）相关的化学品的使用，尤其是染料。-限制纺织品在其整个生命周期内对环境的主要影响，特别是其制造过程产生的影响；-推进对环境危害较小的物质的使用；-对需满足的毒理学要求做出规定。</w:t>
            </w:r>
          </w:p>
        </w:tc>
      </w:tr>
      <w:tr>
        <w:tc>
          <w:tcPr>
            <w:tcW w:w="1384" w:type="dxa"/>
            <w:vMerge w:val="restart"/>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乌克兰</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53</w:t>
            </w:r>
          </w:p>
        </w:tc>
        <w:tc>
          <w:tcPr>
            <w:tcW w:w="12223" w:type="dxa"/>
            <w:vAlign w:val="center"/>
          </w:tcPr>
          <w:p>
            <w:pPr>
              <w:jc w:val="left"/>
              <w:rPr>
                <w:rFonts w:ascii="宋体" w:cs="宋体"/>
                <w:color w:val="000000"/>
                <w:sz w:val="22"/>
                <w:szCs w:val="22"/>
              </w:rPr>
            </w:pPr>
            <w:r>
              <w:rPr>
                <w:rFonts w:hint="eastAsia"/>
                <w:color w:val="000000"/>
                <w:sz w:val="22"/>
                <w:szCs w:val="22"/>
              </w:rPr>
              <w:t>乌克兰2022年6月20日第2320-IX号《废物管理法》，该法旨在改进废物管理系统，确定法律、组织、经济和控制机制，通过防止或减少废物产生、缓解废物管理的负面影响、促进废物作为二次原材料和能源进行再利用和回收的准备工作等措施，确保全面保护人类健康和环境。该法在国家立法中引入了欧洲立法在废物管理方面的基本原则和规定，特别是引入了废物管理层次和生产者延伸责任的基本要求，并在国家、区域和地方各级引入了长期废物管理规划系统。该法规定引入废物管理信息系统，这将大大简化废物管理方面的会计和报告、提交申报和执行许可程序的系统。开放式登记册的子系统的引入将使公众能够获得废物生产者和其他废物所有者的信息。建议通过提高对有害废物的收集和处理的许可要求，加强此类废物收集和处理的控制。 该法规定了城市废物收集、清除和处理的程序，确保实行分类收集和回收，规定了废物管理服务的质量要求和此类服务的废物管理费。</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54</w:t>
            </w:r>
          </w:p>
        </w:tc>
        <w:tc>
          <w:tcPr>
            <w:tcW w:w="12223" w:type="dxa"/>
            <w:vAlign w:val="center"/>
          </w:tcPr>
          <w:p>
            <w:pPr>
              <w:jc w:val="left"/>
              <w:rPr>
                <w:rFonts w:ascii="宋体" w:cs="宋体"/>
                <w:color w:val="000000"/>
                <w:sz w:val="22"/>
                <w:szCs w:val="22"/>
              </w:rPr>
            </w:pPr>
            <w:r>
              <w:rPr>
                <w:rFonts w:hint="eastAsia"/>
                <w:color w:val="000000"/>
                <w:sz w:val="22"/>
                <w:szCs w:val="22"/>
              </w:rPr>
              <w:t>乌克兰内阁关于批准《国家消毒剂注册条例》的决议草案 根据乌克兰公共卫生系统法第48条第1部分，只有经国家注册后，才允许使用和销售消毒剂。禁止使用和销售未注册的产品。乌克兰内阁批准了《国家消毒剂注册条例》。《国家消毒剂注册条例》草案确定了消毒剂国家注册和重新注册的流程，包括对国家注册申请、注册申报文件和提交国家注册的其他文件的要求、国家注册所需的研究（试验）、消毒剂的简要说明、传单（使用说明）、标签、专家结论、条件变更、暂停、取消消毒剂国家注册、维持消毒剂国家注册的格式和程序。 该草案还指出，国家注册和重新注册须是已制定医疗和卫生标准的产品，以及用于以下目的的产品：对传染病区、医疗保健设施、学前教育机构进行消毒；对医疗保健人员的手部进行消毒；对住宅、工业园区、教育、卫生和其他场所、建筑物和构筑物、车辆、公共餐饮和贸易区、定居点区域、大规模娱乐和休闲区进行预防性消毒；工业消毒；对家庭和工业行业进行带有消毒性质的清洗和清洁；对室内空气、水（饮用水除外）、工业和生活废水进行消毒；销毁传染病媒介（杀虫剂）；销毁人类工作场所的人畜共患性昆虫；驱虫；销毁病原体传染病来源和携带者的啮齿动物；对从事食品和加工业、餐饮和贸易的人员的手部皮肤进行消毒；对医疗器械进行灭菌前清洁。</w:t>
            </w:r>
          </w:p>
        </w:tc>
      </w:tr>
      <w:tr>
        <w:tc>
          <w:tcPr>
            <w:tcW w:w="1384" w:type="dxa"/>
            <w:vMerge/>
            <w:vAlign w:val="center"/>
          </w:tcP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55</w:t>
            </w:r>
          </w:p>
        </w:tc>
        <w:tc>
          <w:tcPr>
            <w:tcW w:w="12223" w:type="dxa"/>
            <w:vAlign w:val="center"/>
          </w:tcPr>
          <w:p>
            <w:pPr>
              <w:jc w:val="left"/>
              <w:rPr>
                <w:rFonts w:ascii="宋体" w:cs="宋体"/>
                <w:color w:val="000000"/>
                <w:sz w:val="22"/>
                <w:szCs w:val="22"/>
              </w:rPr>
            </w:pPr>
            <w:r>
              <w:rPr>
                <w:rFonts w:hint="eastAsia"/>
                <w:color w:val="000000"/>
                <w:sz w:val="22"/>
                <w:szCs w:val="22"/>
              </w:rPr>
              <w:t>乌克兰卫生部“关于批准食品调味剂安全指标（要求）、食品添加剂安全指标（要求）和食品酶安全指标（要求）”的命令草案。该法令草案规定了对食品产品中的食品调味剂、食品添加剂和食品酶的要求的批准。 </w:t>
            </w:r>
          </w:p>
        </w:tc>
      </w:tr>
      <w:tr>
        <w:tc>
          <w:tcPr>
            <w:tcW w:w="1384" w:type="dxa"/>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哈萨克斯坦</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56</w:t>
            </w:r>
          </w:p>
        </w:tc>
        <w:tc>
          <w:tcPr>
            <w:tcW w:w="12223" w:type="dxa"/>
            <w:vAlign w:val="center"/>
          </w:tcPr>
          <w:p>
            <w:pPr>
              <w:jc w:val="left"/>
              <w:rPr>
                <w:rFonts w:ascii="宋体" w:cs="宋体"/>
                <w:color w:val="000000"/>
                <w:sz w:val="22"/>
                <w:szCs w:val="22"/>
              </w:rPr>
            </w:pPr>
            <w:r>
              <w:rPr>
                <w:rFonts w:hint="eastAsia"/>
                <w:color w:val="000000"/>
                <w:sz w:val="22"/>
                <w:szCs w:val="22"/>
              </w:rPr>
              <w:t>哈萨克斯坦共和国农业部兽医控制与监督委员会的信函，关于临时限制从比利时弗拉芒大区向哈萨克斯坦境内进口易受高致病性禽流感病毒（HPAI）感染的活家禽和孵化蛋、羽绒羽毛、家禽肉和所有类型的家禽产品、禽类饲料和饲料添加剂、猎物以及禽类饲养、屠宰和切割用过的设备，并且临时限制易受高致病性禽流感病毒（HPAI）感染的活禽经哈萨克斯坦领土过境。  哈萨克斯坦农业部兽医控制与监督委员会报告称，根据世界动物卫生组织（WOAH）的官方通报，比利时弗拉芒大区暴发了高致病性禽流感病毒（HPAI）。鉴于此，自2023年3月2日起，临时限制从比利时弗拉芒大区向哈萨克斯坦境内进口易受高致病性禽流感病毒（HPAI）感染的活家禽和孵化蛋、羽绒羽毛、家禽肉和所有类型的未经加热处理（至少70</w:t>
            </w:r>
            <w:r>
              <w:rPr>
                <w:rFonts w:ascii="宋体" w:hint="eastAsia"/>
                <w:color w:val="000000"/>
                <w:sz w:val="22"/>
                <w:szCs w:val="22"/>
              </w:rPr>
              <w:t>℃</w:t>
            </w:r>
            <w:r>
              <w:rPr>
                <w:rFonts w:hint="eastAsia"/>
                <w:color w:val="000000"/>
                <w:sz w:val="22"/>
                <w:szCs w:val="22"/>
              </w:rPr>
              <w:t>）的家禽产品、禽类饲料和饲料添加剂（化学和微生物合成饲料添加剂除外）、未经标本处理的猎物（野禽）以及禽类饲养、屠宰和切割用过的设备，并且临时限制易受高致病性禽流感病毒（HPAI）感染的活禽经哈萨克斯坦领土过境。对于2023年3月2日之前装运的上述货物，按照惯例决定是否放行。 </w:t>
            </w:r>
          </w:p>
        </w:tc>
      </w:tr>
      <w:tr>
        <w:tc>
          <w:tcPr>
            <w:tcW w:w="1384" w:type="dxa"/>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吉尔吉斯斯坦</w:t>
            </w:r>
          </w:p>
        </w:tc>
        <w:tc>
          <w:tcPr>
            <w:tcW w:w="567" w:type="dxa"/>
            <w:vAlign w:val="center"/>
          </w:tcPr>
          <w:p>
            <w:pPr>
              <w:jc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57</w:t>
            </w:r>
          </w:p>
        </w:tc>
        <w:tc>
          <w:tcPr>
            <w:tcW w:w="12223" w:type="dxa"/>
            <w:vAlign w:val="center"/>
          </w:tcPr>
          <w:p>
            <w:pPr>
              <w:jc w:val="left"/>
              <w:rPr>
                <w:rFonts w:ascii="宋体" w:cs="宋体"/>
                <w:color w:val="000000"/>
                <w:sz w:val="22"/>
                <w:szCs w:val="22"/>
              </w:rPr>
            </w:pPr>
            <w:r>
              <w:rPr>
                <w:rFonts w:hint="eastAsia"/>
                <w:color w:val="000000"/>
                <w:sz w:val="22"/>
                <w:szCs w:val="22"/>
              </w:rPr>
              <w:t>欧亚经济委员会理事会关于修订关税同盟委员会2010年6月18日第318号决定的决定草案。 法规草案是为在选择植物检疫控制程序时使用植物检疫风险评估系统，在植物检疫证书和装运文件中发现不一致时以及在检测到检疫性有害生物时，对受检疫控制的成批产品作出统一决策。 </w:t>
            </w:r>
          </w:p>
        </w:tc>
      </w:tr>
      <w:tr>
        <w:tc>
          <w:tcPr>
            <w:tcW w:w="1384" w:type="dxa"/>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坦桑尼亚</w:t>
            </w:r>
          </w:p>
        </w:tc>
        <w:tc>
          <w:tcPr>
            <w:tcW w:w="567" w:type="dxa"/>
            <w:vAlign w:val="center"/>
          </w:tcPr>
          <w:p>
            <w:pPr>
              <w:jc w:val="center"/>
              <w:rPr>
                <w:rFonts w:ascii="Times New Roman" w:cs="Times New Roman" w:hAnsi="Times New Roman" w:hint="eastAsia"/>
                <w:color w:val="000000"/>
                <w:sz w:val="22"/>
                <w:szCs w:val="22"/>
              </w:rPr>
            </w:pPr>
            <w:r>
              <w:rPr>
                <w:rFonts w:ascii="Times New Roman" w:cs="Times New Roman" w:hAnsi="Times New Roman" w:hint="eastAsia"/>
                <w:color w:val="000000"/>
                <w:sz w:val="22"/>
                <w:szCs w:val="22"/>
              </w:rPr>
              <w:t>58</w:t>
            </w:r>
          </w:p>
        </w:tc>
        <w:tc>
          <w:tcPr>
            <w:tcW w:w="12223" w:type="dxa"/>
            <w:vAlign w:val="center"/>
          </w:tcPr>
          <w:p>
            <w:pPr>
              <w:jc w:val="left"/>
              <w:rPr>
                <w:rFonts w:ascii="宋体" w:cs="宋体"/>
                <w:color w:val="000000"/>
                <w:sz w:val="22"/>
                <w:szCs w:val="22"/>
              </w:rPr>
            </w:pPr>
            <w:r>
              <w:rPr>
                <w:rFonts w:hint="eastAsia"/>
                <w:color w:val="000000"/>
                <w:sz w:val="22"/>
                <w:szCs w:val="22"/>
              </w:rPr>
              <w:t>DEAS 1138: 2023《屠宰场/屠宰厂的基本设计和操作——要求》（第一版）。本东非标准草案涵盖了屠宰场或屠宰厂进行食品动物屠宰的典型布局图、卫生、清洁和基本要求。</w:t>
            </w:r>
          </w:p>
        </w:tc>
      </w:tr>
      <w:tr>
        <w:tc>
          <w:tcPr>
            <w:tcW w:w="1384" w:type="dxa"/>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布隆迪</w:t>
            </w:r>
          </w:p>
        </w:tc>
        <w:tc>
          <w:tcPr>
            <w:tcW w:w="567" w:type="dxa"/>
            <w:vAlign w:val="center"/>
          </w:tcPr>
          <w:p>
            <w:pPr>
              <w:jc w:val="center"/>
              <w:rPr>
                <w:rFonts w:ascii="Times New Roman" w:cs="Times New Roman" w:hAnsi="Times New Roman" w:hint="eastAsia"/>
                <w:color w:val="000000"/>
                <w:sz w:val="22"/>
                <w:szCs w:val="22"/>
              </w:rPr>
            </w:pPr>
            <w:r>
              <w:rPr>
                <w:rFonts w:ascii="Times New Roman" w:cs="Times New Roman" w:hAnsi="Times New Roman" w:hint="eastAsia"/>
                <w:color w:val="000000"/>
                <w:sz w:val="22"/>
                <w:szCs w:val="22"/>
              </w:rPr>
              <w:t>59</w:t>
            </w:r>
          </w:p>
        </w:tc>
        <w:tc>
          <w:tcPr>
            <w:tcW w:w="12223" w:type="dxa"/>
            <w:vAlign w:val="center"/>
          </w:tcPr>
          <w:p>
            <w:pPr>
              <w:jc w:val="left"/>
              <w:rPr>
                <w:rFonts w:ascii="宋体" w:cs="宋体"/>
                <w:color w:val="000000"/>
                <w:sz w:val="22"/>
                <w:szCs w:val="22"/>
              </w:rPr>
            </w:pPr>
            <w:r>
              <w:rPr>
                <w:rFonts w:hint="eastAsia"/>
                <w:color w:val="000000"/>
                <w:sz w:val="22"/>
                <w:szCs w:val="22"/>
              </w:rPr>
              <w:t>DEAS 29:2023 碳酸和非碳酸软饮料——规范。本东非标准草案规定了可浓缩（固体或液体）或即饮的碳酸和非碳酸软饮料的要求、抽样和测试方法。本标准不适用于其他标准适用的产品，例如：a）水（包括包装水、风味饮用水和包装天然矿泉水）；b）水果饮料。c）果汁、果肉、果泥和鲜榨水果汁。d）蔬菜汁和鲜榨蔬菜汁。e）草药汁（即饮和浓缩）；f）谷类饮料</w:t>
            </w:r>
          </w:p>
        </w:tc>
      </w:tr>
      <w:tr>
        <w:tc>
          <w:tcPr>
            <w:tcW w:w="1384" w:type="dxa"/>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丹麦</w:t>
            </w:r>
          </w:p>
        </w:tc>
        <w:tc>
          <w:tcPr>
            <w:tcW w:w="567" w:type="dxa"/>
            <w:vAlign w:val="center"/>
          </w:tcPr>
          <w:p>
            <w:pPr>
              <w:jc w:val="center"/>
              <w:rPr>
                <w:rFonts w:ascii="Times New Roman" w:cs="Times New Roman" w:hAnsi="Times New Roman" w:hint="eastAsia"/>
                <w:color w:val="000000"/>
                <w:sz w:val="22"/>
                <w:szCs w:val="22"/>
              </w:rPr>
            </w:pPr>
            <w:r>
              <w:rPr>
                <w:rFonts w:ascii="Times New Roman" w:cs="Times New Roman" w:hAnsi="Times New Roman" w:hint="eastAsia"/>
                <w:color w:val="000000"/>
                <w:sz w:val="22"/>
                <w:szCs w:val="22"/>
              </w:rPr>
              <w:t>60</w:t>
            </w:r>
          </w:p>
        </w:tc>
        <w:tc>
          <w:tcPr>
            <w:tcW w:w="12223" w:type="dxa"/>
            <w:vAlign w:val="center"/>
          </w:tcPr>
          <w:p>
            <w:pPr>
              <w:jc w:val="left"/>
              <w:rPr>
                <w:rFonts w:ascii="宋体" w:cs="宋体"/>
                <w:color w:val="000000"/>
                <w:sz w:val="22"/>
                <w:szCs w:val="22"/>
              </w:rPr>
            </w:pPr>
            <w:r>
              <w:rPr>
                <w:rFonts w:hint="eastAsia"/>
                <w:color w:val="000000"/>
                <w:sz w:val="22"/>
                <w:szCs w:val="22"/>
              </w:rPr>
              <w:t>关于农业企业使用化肥的法令草案。该草案将取代关于农业企业使用化肥的现行2022年7月10日第1142号法令。随着新草案的出台，一些规则发生了变化。变化主要是细微的澄清和调整。世贸组织《TBT协定》下的通报与第8条第1款和第2款有关。第8条载有施用含尿基氮的人造肥料的要求，以防止氨的排放。在人造肥料中添加脲酶抑制剂是满足要求的一种可能方法。根据对法令的拟议修订，脲酶抑制剂需要有CE标志。</w:t>
            </w:r>
          </w:p>
        </w:tc>
      </w:tr>
      <w:tr>
        <w:tc>
          <w:tcPr>
            <w:tcW w:w="1384" w:type="dxa"/>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加拿大</w:t>
            </w:r>
          </w:p>
        </w:tc>
        <w:tc>
          <w:tcPr>
            <w:tcW w:w="567" w:type="dxa"/>
            <w:vAlign w:val="center"/>
          </w:tcPr>
          <w:p>
            <w:pPr>
              <w:jc w:val="center"/>
              <w:rPr>
                <w:rFonts w:ascii="Times New Roman" w:cs="Times New Roman" w:hAnsi="Times New Roman" w:hint="eastAsia"/>
                <w:color w:val="000000"/>
                <w:sz w:val="22"/>
                <w:szCs w:val="22"/>
              </w:rPr>
            </w:pPr>
            <w:r>
              <w:rPr>
                <w:rFonts w:ascii="Times New Roman" w:cs="Times New Roman" w:hAnsi="Times New Roman" w:hint="eastAsia"/>
                <w:color w:val="000000"/>
                <w:sz w:val="22"/>
                <w:szCs w:val="22"/>
              </w:rPr>
              <w:t>61</w:t>
            </w:r>
          </w:p>
        </w:tc>
        <w:tc>
          <w:tcPr>
            <w:tcW w:w="12223" w:type="dxa"/>
            <w:vAlign w:val="center"/>
          </w:tcPr>
          <w:p>
            <w:pPr>
              <w:jc w:val="left"/>
              <w:rPr>
                <w:rFonts w:ascii="宋体" w:cs="宋体"/>
                <w:color w:val="000000"/>
                <w:sz w:val="22"/>
                <w:szCs w:val="22"/>
              </w:rPr>
            </w:pPr>
            <w:r>
              <w:rPr>
                <w:rFonts w:hint="eastAsia"/>
                <w:color w:val="000000"/>
                <w:sz w:val="22"/>
                <w:szCs w:val="22"/>
              </w:rPr>
              <w:t>《食品和药品法规》和《医疗器械条例》（召回、营业许可证和成品检测）的修订条例，《食品和药品法规》（FDR）的拟议修正案将：·建立部长下令召回药品的监管框架。明确行业对自愿（公司发起）召回的报告义务。·更新对与加拿大签订互认协议（MRA）的外国监管机构的过时的引用，并将过时信息替换为通过引用采纳的监管机构非固定清单。·有条件地豁免某些生物制品（如基因和细胞治疗）和放射性药物的成品检测要求，并澄清这些产品允许直接装运给进口商以外的人（通常是医疗保健提供者）。《医疗器械条例》（MDR）的拟议修正案将：·更新召回的定义，以包括部长的召回令，建立部长下令召回医疗器械的监管框架，并明确行业对公司发起的召回的报告和记录保存义务；·改进与低风险医疗器械召回报告相关的国际一致性；·使医疗器械营业许可证（MDEL）的申请要求现代化，以反映现有做法；·使部长能够就医疗器械营业许可证制定条款和条件，以减轻对健康和安全的风险，并从战略上针对不合规行为采取措施。</w:t>
            </w:r>
          </w:p>
        </w:tc>
      </w:tr>
      <w:tr>
        <w:tc>
          <w:tcPr>
            <w:tcW w:w="1384" w:type="dxa"/>
            <w:vMerge w:val="restart"/>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加纳</w:t>
            </w:r>
          </w:p>
        </w:tc>
        <w:tc>
          <w:tcPr>
            <w:tcW w:w="567" w:type="dxa"/>
            <w:vAlign w:val="center"/>
          </w:tcPr>
          <w:p>
            <w:pPr>
              <w:jc w:val="center"/>
              <w:rPr>
                <w:rFonts w:ascii="Times New Roman" w:cs="Times New Roman" w:hAnsi="Times New Roman" w:hint="eastAsia"/>
                <w:color w:val="000000"/>
                <w:sz w:val="22"/>
                <w:szCs w:val="22"/>
              </w:rPr>
            </w:pPr>
            <w:r>
              <w:rPr>
                <w:rFonts w:ascii="Times New Roman" w:cs="Times New Roman" w:hAnsi="Times New Roman" w:hint="eastAsia"/>
                <w:color w:val="000000"/>
                <w:sz w:val="22"/>
                <w:szCs w:val="22"/>
              </w:rPr>
              <w:t>62</w:t>
            </w:r>
          </w:p>
        </w:tc>
        <w:tc>
          <w:tcPr>
            <w:tcW w:w="12223" w:type="dxa"/>
            <w:vAlign w:val="center"/>
          </w:tcPr>
          <w:p>
            <w:pPr>
              <w:jc w:val="left"/>
              <w:rPr>
                <w:rFonts w:ascii="宋体" w:cs="宋体"/>
                <w:color w:val="000000"/>
                <w:sz w:val="22"/>
                <w:szCs w:val="22"/>
              </w:rPr>
            </w:pPr>
            <w:r>
              <w:rPr>
                <w:rFonts w:hint="eastAsia"/>
                <w:color w:val="000000"/>
                <w:sz w:val="22"/>
                <w:szCs w:val="22"/>
              </w:rPr>
              <w:t>L.I. 2456 - 2022年能源委员会（能源效率标准和标签）（电动机）条例。本条例旨在通过以下方式促进该国有效利用能源和节约能源，并缓解相关的气候变化：a）i）就附表1所列标准和附表2第1部分所列最低能源效率标准的执行作出规定；ii）对电动机的标签作出规定；iii）对电动机的补充产品信息作出规定；iv）规定在电器能效登记册中登记电动机的型号；b）禁止制造、进口、要约出售、出售、储存、捐赠、处置、安装或使用不满足附表2第1部分所列最低能源效率标准的电动机。</w:t>
            </w:r>
          </w:p>
        </w:tc>
      </w:tr>
      <w:tr>
        <w:tc>
          <w:tcPr>
            <w:tcW w:w="1384" w:type="dxa"/>
            <w:vMerge/>
            <w:vAlign w:val="center"/>
          </w:tcPr>
          <w:p/>
        </w:tc>
        <w:tc>
          <w:tcPr>
            <w:tcW w:w="567" w:type="dxa"/>
            <w:vAlign w:val="center"/>
          </w:tcPr>
          <w:p>
            <w:pPr>
              <w:jc w:val="center"/>
              <w:rPr>
                <w:rFonts w:ascii="Times New Roman" w:cs="Times New Roman" w:hAnsi="Times New Roman" w:hint="eastAsia"/>
                <w:color w:val="000000"/>
                <w:sz w:val="22"/>
                <w:szCs w:val="22"/>
              </w:rPr>
            </w:pPr>
            <w:r>
              <w:rPr>
                <w:rFonts w:ascii="Times New Roman" w:cs="Times New Roman" w:hAnsi="Times New Roman" w:hint="eastAsia"/>
                <w:color w:val="000000"/>
                <w:sz w:val="22"/>
                <w:szCs w:val="22"/>
              </w:rPr>
              <w:t>63</w:t>
            </w:r>
          </w:p>
        </w:tc>
        <w:tc>
          <w:tcPr>
            <w:tcW w:w="12223" w:type="dxa"/>
            <w:vAlign w:val="center"/>
          </w:tcPr>
          <w:p>
            <w:pPr>
              <w:jc w:val="left"/>
              <w:rPr>
                <w:rFonts w:ascii="宋体" w:cs="宋体"/>
                <w:color w:val="000000"/>
                <w:sz w:val="22"/>
                <w:szCs w:val="22"/>
              </w:rPr>
            </w:pPr>
            <w:r>
              <w:rPr>
                <w:rFonts w:hint="eastAsia"/>
                <w:color w:val="000000"/>
                <w:sz w:val="22"/>
                <w:szCs w:val="22"/>
              </w:rPr>
              <w:t>L.I. 2458 - 2022年能源委员会（能源效率标准和标签）（空调）条例。本条例旨在通过以下方式促进该国有效利用能源和节约能源，并缓解相关的气候变化：a）i）就附表1所列标准和附表2第1至第3部分所列空调的最低能源效率标准和声功率级的执行作出规定；ii）对主电源控制的空调的标签作出规定；iii）对主电源控制的空调的补充产品信息作出规定；iv）规定在电器能效登记册中登记空调的型号；b）禁止制造、进口、要约出售、出售、储存、捐赠、处置、安装或使用不满足附表2第1至第3部分所列最低能源效率标准的空调。</w:t>
            </w:r>
          </w:p>
        </w:tc>
      </w:tr>
      <w:tr>
        <w:tc>
          <w:tcPr>
            <w:tcW w:w="1384" w:type="dxa"/>
            <w:vMerge/>
            <w:vAlign w:val="center"/>
          </w:tcPr>
          <w:p/>
        </w:tc>
        <w:tc>
          <w:tcPr>
            <w:tcW w:w="567" w:type="dxa"/>
            <w:vAlign w:val="center"/>
          </w:tcPr>
          <w:p>
            <w:pPr>
              <w:jc w:val="center"/>
              <w:rPr>
                <w:rFonts w:ascii="Times New Roman" w:cs="Times New Roman" w:hAnsi="Times New Roman" w:hint="eastAsia"/>
                <w:color w:val="000000"/>
                <w:sz w:val="22"/>
                <w:szCs w:val="22"/>
              </w:rPr>
            </w:pPr>
            <w:r>
              <w:rPr>
                <w:rFonts w:ascii="Times New Roman" w:cs="Times New Roman" w:hAnsi="Times New Roman" w:hint="eastAsia"/>
                <w:color w:val="000000"/>
                <w:sz w:val="22"/>
                <w:szCs w:val="22"/>
              </w:rPr>
              <w:t>64</w:t>
            </w:r>
          </w:p>
        </w:tc>
        <w:tc>
          <w:tcPr>
            <w:tcW w:w="12223" w:type="dxa"/>
            <w:vAlign w:val="center"/>
          </w:tcPr>
          <w:p>
            <w:pPr>
              <w:jc w:val="left"/>
              <w:rPr>
                <w:rFonts w:ascii="宋体" w:cs="宋体"/>
                <w:color w:val="000000"/>
                <w:sz w:val="22"/>
                <w:szCs w:val="22"/>
              </w:rPr>
            </w:pPr>
            <w:r>
              <w:rPr>
                <w:rFonts w:hint="eastAsia"/>
                <w:color w:val="000000"/>
                <w:sz w:val="22"/>
                <w:szCs w:val="22"/>
              </w:rPr>
              <w:t>L.I. 2461 - 2022年可再生能源（标准和标签）（逆变器）条例。本条例旨在通过以下方式促进该国有效利用逆变器并缓解相关气候变化：a）i）就附表1所列标准和附表2第1部分所列最低效率标准的执行作出规定；ii）对逆变器的标签作出规定； iii）对逆变器的补充产品信息作出规定；iv）规定在可再生能源产品登记册中登记逆变器的型号；b）禁止制造、进口、要约出售、出售、储存、捐赠、处置、安装或使用不满足附表2第1部分所列最低能源效率标准的逆变器。</w:t>
            </w:r>
          </w:p>
        </w:tc>
      </w:tr>
      <w:tr>
        <w:tc>
          <w:tcPr>
            <w:tcW w:w="1384" w:type="dxa"/>
            <w:vMerge/>
            <w:vAlign w:val="center"/>
          </w:tcPr>
          <w:p/>
        </w:tc>
        <w:tc>
          <w:tcPr>
            <w:tcW w:w="567" w:type="dxa"/>
            <w:vAlign w:val="center"/>
          </w:tcPr>
          <w:p>
            <w:pPr>
              <w:jc w:val="center"/>
              <w:rPr>
                <w:rFonts w:ascii="Times New Roman" w:cs="Times New Roman" w:hAnsi="Times New Roman" w:hint="eastAsia"/>
                <w:color w:val="000000"/>
                <w:sz w:val="22"/>
                <w:szCs w:val="22"/>
              </w:rPr>
            </w:pPr>
            <w:r>
              <w:rPr>
                <w:rFonts w:ascii="Times New Roman" w:cs="Times New Roman" w:hAnsi="Times New Roman" w:hint="eastAsia"/>
                <w:color w:val="000000"/>
                <w:sz w:val="22"/>
                <w:szCs w:val="22"/>
              </w:rPr>
              <w:t>65</w:t>
            </w:r>
          </w:p>
        </w:tc>
        <w:tc>
          <w:tcPr>
            <w:tcW w:w="12223" w:type="dxa"/>
            <w:vAlign w:val="center"/>
          </w:tcPr>
          <w:p>
            <w:pPr>
              <w:jc w:val="left"/>
              <w:rPr>
                <w:rFonts w:ascii="宋体" w:cs="宋体"/>
                <w:color w:val="000000"/>
                <w:sz w:val="22"/>
                <w:szCs w:val="22"/>
              </w:rPr>
            </w:pPr>
            <w:r>
              <w:rPr>
                <w:rFonts w:hint="eastAsia"/>
                <w:color w:val="000000"/>
                <w:sz w:val="22"/>
                <w:szCs w:val="22"/>
              </w:rPr>
              <w:t>L.I. 2459 - 2022年能源委员会（能源效率标准和标签）（配电变压器）条例。本条例旨在通过以下方式促进该国有效利用能源和节约能源，并缓解相关的气候变化：a）i）就附表1所列标准和附表2第1部分所列最低能源效率标准的执行作出规定；ii）对配电变压器的标签作出规定；Iii）对配电变压器的补充产品信息作出规定； iv）规定在电器能效登记册中登记配电变压器的型号；b）禁止制造、进口、要约出售、出售、储存、捐赠、处置、安装或使用不满足附表2第1部分所列最低能源效率标准的配电变压器。</w:t>
            </w:r>
          </w:p>
        </w:tc>
      </w:tr>
      <w:tr>
        <w:tc>
          <w:tcPr>
            <w:tcW w:w="1384" w:type="dxa"/>
            <w:vMerge/>
            <w:vAlign w:val="center"/>
          </w:tcPr>
          <w:p/>
        </w:tc>
        <w:tc>
          <w:tcPr>
            <w:tcW w:w="567" w:type="dxa"/>
            <w:vAlign w:val="center"/>
          </w:tcPr>
          <w:p>
            <w:pPr>
              <w:jc w:val="center"/>
              <w:rPr>
                <w:rFonts w:ascii="Times New Roman" w:cs="Times New Roman" w:hAnsi="Times New Roman" w:hint="eastAsia"/>
                <w:color w:val="000000"/>
                <w:sz w:val="22"/>
                <w:szCs w:val="22"/>
              </w:rPr>
            </w:pPr>
            <w:r>
              <w:rPr>
                <w:rFonts w:ascii="Times New Roman" w:cs="Times New Roman" w:hAnsi="Times New Roman" w:hint="eastAsia"/>
                <w:color w:val="000000"/>
                <w:sz w:val="22"/>
                <w:szCs w:val="22"/>
              </w:rPr>
              <w:t>66</w:t>
            </w:r>
          </w:p>
        </w:tc>
        <w:tc>
          <w:tcPr>
            <w:tcW w:w="12223" w:type="dxa"/>
            <w:vAlign w:val="center"/>
          </w:tcPr>
          <w:p>
            <w:pPr>
              <w:jc w:val="left"/>
              <w:rPr>
                <w:rFonts w:ascii="宋体" w:cs="宋体"/>
                <w:color w:val="000000"/>
                <w:sz w:val="22"/>
                <w:szCs w:val="22"/>
              </w:rPr>
            </w:pPr>
            <w:r>
              <w:rPr>
                <w:rFonts w:hint="eastAsia"/>
                <w:color w:val="000000"/>
                <w:sz w:val="22"/>
                <w:szCs w:val="22"/>
              </w:rPr>
              <w:t xml:space="preserve">L.I. 2457 - 2022年能源委员会（能源效率标准和标签）（电水壶）条例。本条例旨在通过以下方式促进该国有效利用能源和节约能源，并缓解相关的气候变化：a）i）就附表1所列标准和附表2第1部分所列最低能源性能标准的执行作出规定；ii）对主电源控制的电水壶的标签作出规定；iii）提供主电源控制的电水壶的补充产品信息；iv）规定在电器效率登记册中登记电水壶的型号；b）禁止制造、进口、要约出售、出售、储存、捐赠、处置、安装或使用不满足附表2第1部分所列最低能源效率标准的电水壶。 </w:t>
            </w:r>
          </w:p>
        </w:tc>
      </w:tr>
      <w:tr>
        <w:tc>
          <w:tcPr>
            <w:tcW w:w="1384" w:type="dxa"/>
            <w:vMerge/>
            <w:vAlign w:val="center"/>
          </w:tcPr>
          <w:p/>
        </w:tc>
        <w:tc>
          <w:tcPr>
            <w:tcW w:w="567" w:type="dxa"/>
            <w:vAlign w:val="center"/>
          </w:tcPr>
          <w:p>
            <w:pPr>
              <w:jc w:val="center"/>
              <w:rPr>
                <w:rFonts w:ascii="Times New Roman" w:cs="Times New Roman" w:hAnsi="Times New Roman" w:hint="eastAsia"/>
                <w:color w:val="000000"/>
                <w:sz w:val="22"/>
                <w:szCs w:val="22"/>
              </w:rPr>
            </w:pPr>
            <w:r>
              <w:rPr>
                <w:rFonts w:ascii="Times New Roman" w:cs="Times New Roman" w:hAnsi="Times New Roman" w:hint="eastAsia"/>
                <w:color w:val="000000"/>
                <w:sz w:val="22"/>
                <w:szCs w:val="22"/>
              </w:rPr>
              <w:t>67</w:t>
            </w:r>
          </w:p>
        </w:tc>
        <w:tc>
          <w:tcPr>
            <w:tcW w:w="12223" w:type="dxa"/>
            <w:vAlign w:val="center"/>
          </w:tcPr>
          <w:p>
            <w:pPr>
              <w:jc w:val="left"/>
              <w:rPr>
                <w:rFonts w:ascii="宋体" w:cs="宋体"/>
                <w:color w:val="000000"/>
                <w:sz w:val="22"/>
                <w:szCs w:val="22"/>
              </w:rPr>
            </w:pPr>
            <w:r>
              <w:rPr>
                <w:rFonts w:hint="eastAsia"/>
                <w:color w:val="000000"/>
                <w:sz w:val="22"/>
                <w:szCs w:val="22"/>
              </w:rPr>
              <w:t>L.I. 2452 - 2022年可再生能源（标准和标签）（可再生能源电池）条例。本条例旨在通过以下方式促进该国有效使用可再生能源电池并缓解相关气候变化：a）i）就附表1所列标准和附表2第1部分所列最低效率标准的执行作出规定；ii）对可再生能源电池的标签作出规定；iii）提供可再生能源电池的补充产品信息；iv）规定可再生能源电池模型在可再生能源产品登记册中的登记；b）禁止制造、进口、要约出售、出售、储存、捐赠、处置、安装或使用不满足附表2第1部分所列最低能源效率标准的可再生能源电池。 </w:t>
            </w:r>
          </w:p>
        </w:tc>
      </w:tr>
      <w:tr>
        <w:tc>
          <w:tcPr>
            <w:tcW w:w="1384" w:type="dxa"/>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hint="eastAsia"/>
                <w:color w:val="000000"/>
                <w:sz w:val="22"/>
                <w:szCs w:val="22"/>
              </w:rPr>
              <w:t>俄罗斯</w:t>
            </w:r>
          </w:p>
        </w:tc>
        <w:tc>
          <w:tcPr>
            <w:tcW w:w="567" w:type="dxa"/>
            <w:vAlign w:val="center"/>
          </w:tcPr>
          <w:p>
            <w:pPr>
              <w:jc w:val="center"/>
              <w:rPr>
                <w:rFonts w:ascii="Times New Roman" w:cs="Times New Roman" w:hAnsi="Times New Roman" w:hint="eastAsia"/>
                <w:color w:val="000000"/>
                <w:sz w:val="22"/>
                <w:szCs w:val="22"/>
              </w:rPr>
            </w:pPr>
            <w:r>
              <w:rPr>
                <w:rFonts w:ascii="Times New Roman" w:cs="Times New Roman" w:hAnsi="Times New Roman" w:hint="eastAsia"/>
                <w:color w:val="000000"/>
                <w:sz w:val="22"/>
                <w:szCs w:val="22"/>
              </w:rPr>
              <w:t>68</w:t>
            </w:r>
          </w:p>
        </w:tc>
        <w:tc>
          <w:tcPr>
            <w:tcW w:w="12223" w:type="dxa"/>
            <w:vAlign w:val="center"/>
          </w:tcPr>
          <w:p>
            <w:pPr>
              <w:jc w:val="left"/>
              <w:rPr>
                <w:rFonts w:ascii="宋体" w:cs="宋体" w:hint="eastAsia"/>
                <w:color w:val="000000"/>
                <w:sz w:val="22"/>
                <w:szCs w:val="22"/>
              </w:rPr>
            </w:pPr>
            <w:r>
              <w:rPr>
                <w:rFonts w:hint="eastAsia"/>
                <w:color w:val="000000"/>
                <w:sz w:val="22"/>
                <w:szCs w:val="22"/>
              </w:rPr>
              <w:t>欧亚经济委员会《关于修订受兽医管制（监督）货物的统一兽医（卫生和兽医）要求条例》的决定草案和欧亚经济委员会《关于修订从第三国进口到欧亚经济联盟关税区的受管制货物的统一兽医证书格式》的决定草案。草案更新了欧亚经济联盟关于捐献胚胎的牛的布鲁氏菌病检测、参加体育赛事后马匹的出口条件以及植物源性饲料的安全指标的兽医要求。</w:t>
            </w:r>
          </w:p>
        </w:tc>
      </w:tr>
      <w:tr>
        <w:tc>
          <w:tcPr>
            <w:tcW w:w="1384" w:type="dxa"/>
            <w:vMerge w:val="restart"/>
            <w:vAlign w:val="center"/>
          </w:tcPr>
          <w:p>
            <w:pPr>
              <w:widowControl/>
              <w:jc w:val="center"/>
              <w:textAlignment w:val="center"/>
              <w:rPr>
                <w:rFonts w:ascii="Times New Roman" w:cs="Times New Roman" w:hAnsi="Times New Roman" w:hint="eastAsia"/>
                <w:color w:val="000000"/>
                <w:sz w:val="22"/>
                <w:szCs w:val="22"/>
              </w:rPr>
            </w:pPr>
            <w:r>
              <w:rPr>
                <w:rFonts w:ascii="Times New Roman" w:cs="Times New Roman" w:hAnsi="Times New Roman" w:hint="eastAsia"/>
                <w:color w:val="000000"/>
                <w:sz w:val="22"/>
                <w:szCs w:val="22"/>
              </w:rPr>
              <w:t>韩国</w:t>
            </w:r>
          </w:p>
        </w:tc>
        <w:tc>
          <w:tcPr>
            <w:tcW w:w="567" w:type="dxa"/>
            <w:vAlign w:val="center"/>
          </w:tcPr>
          <w:p>
            <w:pPr>
              <w:jc w:val="center"/>
              <w:rPr>
                <w:rFonts w:ascii="Times New Roman" w:cs="Times New Roman" w:hAnsi="Times New Roman" w:hint="eastAsia"/>
                <w:color w:val="000000"/>
                <w:sz w:val="22"/>
                <w:szCs w:val="22"/>
              </w:rPr>
            </w:pPr>
            <w:r>
              <w:rPr>
                <w:rFonts w:ascii="Times New Roman" w:cs="Times New Roman" w:hAnsi="Times New Roman" w:hint="eastAsia"/>
                <w:color w:val="000000"/>
                <w:sz w:val="22"/>
                <w:szCs w:val="22"/>
              </w:rPr>
              <w:t>69</w:t>
            </w:r>
          </w:p>
        </w:tc>
        <w:tc>
          <w:tcPr>
            <w:tcW w:w="12223" w:type="dxa"/>
            <w:vAlign w:val="center"/>
          </w:tcPr>
          <w:p>
            <w:pPr>
              <w:jc w:val="left"/>
              <w:rPr>
                <w:rFonts w:ascii="宋体" w:cs="宋体"/>
                <w:color w:val="000000"/>
                <w:sz w:val="22"/>
                <w:szCs w:val="22"/>
              </w:rPr>
            </w:pPr>
            <w:r>
              <w:rPr>
                <w:rFonts w:hint="eastAsia"/>
                <w:color w:val="000000"/>
                <w:sz w:val="22"/>
                <w:szCs w:val="22"/>
              </w:rPr>
              <w:t>医疗器械批准/报告/审查等法规的拟议部分修正案 医疗器械批准/报告/审查等法规的拟议修正案如下： 1）审查临床试验数据时对真实证据的识别 ——对于临床试验数据，必须提交人体试验数据、论文和文章（医疗器械1类和2类）。依据医疗器械的特点（如罕见和急需的医疗器械），在审查临床试验数据时，为识别真实证据制定依据。2）对数字健康设备等新开发的医疗器械引入自定义分类程序 ——通过为新开发的医疗器械（如数字健康设备）建立引入自定义分类程序的程序，支持新开发的医疗器械的快速商业化。3）组合医疗器械多用途说明依据其特点进行编制 ——对于组合医疗器械，在申请许可时描述了单一的使用目的，但为了运行一个反映各种组合医疗器械特点的灵活的筛选和合理的系统，我们正在尝试根据其特点为列出一个以上的使用目的制定依据。4）在发放使用过的特种医疗设备时，放宽双重检查 ——对于通过质量控制定期检查其安全性和性能的特种医疗器械，在发放使用过的产品时，免于签发检查合格证。5）扩大快速审查范围，包括生产/进口暂停报告的医疗器械 ——扩大了快速审查的主题，将生产/进口暂停报告的医疗器械和公共卫生危机应对医疗器械包括在内，以促进在发生供应/需求事件（如生产/进口暂停）时的迅速响应和公共卫生情况。6）增加生物安全数据检测报告认证机构 ——通过增加食品药品安全部部长指定的生物安全数据实验室审查机构的数量，增加公民的选择。7）微小变更改进 ——根据再评价结果、部件外观变化等，修订使用方法和注意事项</w:t>
            </w:r>
          </w:p>
        </w:tc>
      </w:tr>
      <w:tr>
        <w:tc>
          <w:tcPr>
            <w:tcW w:w="1384" w:type="dxa"/>
            <w:vMerge/>
            <w:vAlign w:val="center"/>
          </w:tcPr>
          <w:p/>
        </w:tc>
        <w:tc>
          <w:tcPr>
            <w:tcW w:w="567" w:type="dxa"/>
            <w:vAlign w:val="center"/>
          </w:tcPr>
          <w:p>
            <w:pPr>
              <w:jc w:val="center"/>
              <w:rPr>
                <w:rFonts w:ascii="Times New Roman" w:cs="Times New Roman" w:hAnsi="Times New Roman" w:hint="eastAsia"/>
                <w:color w:val="000000"/>
                <w:sz w:val="22"/>
                <w:szCs w:val="22"/>
              </w:rPr>
            </w:pPr>
            <w:r>
              <w:rPr>
                <w:rFonts w:ascii="Times New Roman" w:cs="Times New Roman" w:hAnsi="Times New Roman" w:hint="eastAsia"/>
                <w:color w:val="000000"/>
                <w:sz w:val="22"/>
                <w:szCs w:val="22"/>
              </w:rPr>
              <w:t>70</w:t>
            </w:r>
          </w:p>
        </w:tc>
        <w:tc>
          <w:tcPr>
            <w:tcW w:w="12223" w:type="dxa"/>
            <w:vAlign w:val="center"/>
          </w:tcPr>
          <w:p>
            <w:pPr>
              <w:jc w:val="left"/>
              <w:rPr>
                <w:rFonts w:ascii="宋体" w:cs="宋体"/>
                <w:color w:val="000000"/>
                <w:sz w:val="22"/>
                <w:szCs w:val="22"/>
              </w:rPr>
            </w:pPr>
            <w:r>
              <w:rPr>
                <w:rFonts w:hint="eastAsia"/>
                <w:color w:val="000000"/>
                <w:sz w:val="22"/>
                <w:szCs w:val="22"/>
              </w:rPr>
              <w:t>《医疗器械稳定性测试标准法规》的拟议部分修正案 《医疗器械稳定性测试标准法规》拟修订内容如下：1）稳定性测试的测量周期 ——对于测量周期，当替换测试开始时的数据时，可以为使用没有物理或化学变化的原材料（如金属）的医疗器械的长期保存测试和加速老化测试设置至少一个时间点，包括最后一个时间点。2）测试项目交底 ——按照《医疗器械许可、告知、审核等条例》和《体外诊断医疗器械许可、告知、审核等条例》将测试项目分为生物安全测试、性能测试和其他测试。</w:t>
            </w:r>
          </w:p>
        </w:tc>
      </w:tr>
      <w:tr>
        <w:tc>
          <w:tcPr>
            <w:tcW w:w="1384" w:type="dxa"/>
            <w:vMerge/>
            <w:vAlign w:val="center"/>
          </w:tcPr>
          <w:p/>
        </w:tc>
        <w:tc>
          <w:tcPr>
            <w:tcW w:w="567" w:type="dxa"/>
            <w:vAlign w:val="center"/>
          </w:tcPr>
          <w:p>
            <w:pPr>
              <w:jc w:val="center"/>
              <w:rPr>
                <w:rFonts w:ascii="Times New Roman" w:cs="Times New Roman" w:hAnsi="Times New Roman" w:hint="eastAsia"/>
                <w:color w:val="000000"/>
                <w:sz w:val="22"/>
                <w:szCs w:val="22"/>
              </w:rPr>
            </w:pPr>
            <w:r>
              <w:rPr>
                <w:rFonts w:ascii="Times New Roman" w:cs="Times New Roman" w:hAnsi="Times New Roman" w:hint="eastAsia"/>
                <w:color w:val="000000"/>
                <w:sz w:val="22"/>
                <w:szCs w:val="22"/>
              </w:rPr>
              <w:t>71</w:t>
            </w:r>
          </w:p>
        </w:tc>
        <w:tc>
          <w:tcPr>
            <w:tcW w:w="12223" w:type="dxa"/>
            <w:vAlign w:val="center"/>
          </w:tcPr>
          <w:p>
            <w:pPr>
              <w:jc w:val="left"/>
              <w:rPr>
                <w:rFonts w:ascii="宋体" w:cs="宋体"/>
                <w:color w:val="000000"/>
                <w:sz w:val="22"/>
                <w:szCs w:val="22"/>
              </w:rPr>
            </w:pPr>
            <w:r>
              <w:rPr>
                <w:rFonts w:hint="eastAsia"/>
                <w:color w:val="000000"/>
                <w:sz w:val="22"/>
                <w:szCs w:val="22"/>
              </w:rPr>
              <w:t>《电器和消费品安全控制法》操作公告的拟议修正案 韩国技术标准局建议对《电器和消费品安全控制法》的操作公告进行修订。主要修改如下。- 建立安全检查机构指定审查程序（第2节）-再利用电池安全检查后出具检查结果的义务和格式（第56-2、56-3条，表8-2）- 安全检查合格产品的标识（第57~59条）-采用申请安全检查之日有效的安全标准（第63条）- 指定安全检查电器（表3-2）- 更新安全标准的状态（附件25）</w:t>
            </w:r>
          </w:p>
        </w:tc>
      </w:tr>
      <w:tr>
        <w:tc>
          <w:tcPr>
            <w:tcW w:w="1384" w:type="dxa"/>
            <w:vMerge/>
            <w:vAlign w:val="center"/>
          </w:tcPr>
          <w:p/>
        </w:tc>
        <w:tc>
          <w:tcPr>
            <w:tcW w:w="567" w:type="dxa"/>
            <w:vAlign w:val="center"/>
          </w:tcPr>
          <w:p>
            <w:pPr>
              <w:jc w:val="center"/>
              <w:rPr>
                <w:rFonts w:ascii="Times New Roman" w:cs="Times New Roman" w:hAnsi="Times New Roman" w:hint="eastAsia"/>
                <w:color w:val="000000"/>
                <w:sz w:val="22"/>
                <w:szCs w:val="22"/>
              </w:rPr>
            </w:pPr>
            <w:r>
              <w:rPr>
                <w:rFonts w:ascii="Times New Roman" w:cs="Times New Roman" w:hAnsi="Times New Roman" w:hint="eastAsia"/>
                <w:color w:val="000000"/>
                <w:sz w:val="22"/>
                <w:szCs w:val="22"/>
              </w:rPr>
              <w:t>72</w:t>
            </w:r>
          </w:p>
        </w:tc>
        <w:tc>
          <w:tcPr>
            <w:tcW w:w="12223" w:type="dxa"/>
            <w:vAlign w:val="center"/>
          </w:tcPr>
          <w:p>
            <w:pPr>
              <w:jc w:val="left"/>
              <w:rPr>
                <w:rFonts w:ascii="宋体" w:cs="宋体"/>
                <w:color w:val="000000"/>
                <w:sz w:val="22"/>
                <w:szCs w:val="22"/>
              </w:rPr>
            </w:pPr>
            <w:r>
              <w:rPr>
                <w:rFonts w:hint="eastAsia"/>
                <w:color w:val="000000"/>
                <w:sz w:val="22"/>
                <w:szCs w:val="22"/>
              </w:rPr>
              <w:t>《电器和消费品安全控制法实施令》的拟议修正案 韩国技术标准局建议对电器和消费品安全控制法实施细则进行修订。主要修改如下。-（指定标准）规定进行安全检查所需的检查机构的指定要求，如组织/工作系统、人员/设施要求等。（第14-2条） -（罚款附加费）确定在因检查机构暂停业务而给用户带来不便的情况下征收附加费的理由（第14-3条）-（罚款）确定对安全检查机构和制造商的违法行为征收罚款的理由（表3）-（费用标准的重整）简化费用制度，如根据测试的人工成本、材料成本、折旧成本等实际成本计算细节计算产品检查费用（表2）-（赔偿责任）制定详细的保险认购金额标准，以赔偿因检查机构的故意或疏忽等检查不力造成的损害（第14-4条）-（责令暂停销售）召回非法/缺陷产品（第15条）-（其他系统维护）根据受安全管理的产品（接受安全检查的电器）的扩展，对现有系统进行重整，如委托和托运（第18、20条）  </w:t>
            </w:r>
          </w:p>
        </w:tc>
      </w:tr>
      <w:tr>
        <w:tc>
          <w:tcPr>
            <w:tcW w:w="1384" w:type="dxa"/>
            <w:vMerge/>
            <w:vAlign w:val="center"/>
          </w:tcPr>
          <w:p/>
        </w:tc>
        <w:tc>
          <w:tcPr>
            <w:tcW w:w="567" w:type="dxa"/>
            <w:vAlign w:val="center"/>
          </w:tcPr>
          <w:p>
            <w:pPr>
              <w:jc w:val="center"/>
              <w:rPr>
                <w:rFonts w:ascii="Times New Roman" w:cs="Times New Roman" w:hAnsi="Times New Roman" w:hint="eastAsia"/>
                <w:color w:val="000000"/>
                <w:sz w:val="22"/>
                <w:szCs w:val="22"/>
              </w:rPr>
            </w:pPr>
            <w:r>
              <w:rPr>
                <w:rFonts w:ascii="Times New Roman" w:cs="Times New Roman" w:hAnsi="Times New Roman" w:hint="eastAsia"/>
                <w:color w:val="000000"/>
                <w:sz w:val="22"/>
                <w:szCs w:val="22"/>
              </w:rPr>
              <w:t>73</w:t>
            </w:r>
          </w:p>
        </w:tc>
        <w:tc>
          <w:tcPr>
            <w:tcW w:w="12223" w:type="dxa"/>
            <w:vAlign w:val="center"/>
          </w:tcPr>
          <w:p>
            <w:pPr>
              <w:jc w:val="left"/>
              <w:rPr>
                <w:rFonts w:ascii="宋体" w:cs="宋体"/>
                <w:color w:val="000000"/>
                <w:sz w:val="22"/>
                <w:szCs w:val="22"/>
              </w:rPr>
            </w:pPr>
            <w:r>
              <w:rPr>
                <w:rFonts w:hint="eastAsia"/>
                <w:color w:val="000000"/>
                <w:sz w:val="22"/>
                <w:szCs w:val="22"/>
              </w:rPr>
              <w:t>含碱性或其他非酸性电解质的二次电池和蓄电池组——再利用废旧锂电池的二次锂电池的安全要求（电气和电信产品及其部件的技术规范：KC10031）编制再利用电池安全管理的安全标准。 主要修改如下。一般要求 - 质量和性能要求 - 与BMS等进行功能安全审查。</w:t>
            </w:r>
          </w:p>
        </w:tc>
      </w:tr>
      <w:tr>
        <w:tc>
          <w:tcPr>
            <w:tcW w:w="1384" w:type="dxa"/>
            <w:vMerge/>
            <w:vAlign w:val="center"/>
          </w:tcPr>
          <w:p/>
        </w:tc>
        <w:tc>
          <w:tcPr>
            <w:tcW w:w="567" w:type="dxa"/>
            <w:vAlign w:val="center"/>
          </w:tcPr>
          <w:p>
            <w:pPr>
              <w:jc w:val="center"/>
              <w:rPr>
                <w:rFonts w:ascii="Times New Roman" w:cs="Times New Roman" w:hAnsi="Times New Roman" w:hint="eastAsia"/>
                <w:color w:val="000000"/>
                <w:sz w:val="22"/>
                <w:szCs w:val="22"/>
              </w:rPr>
            </w:pPr>
            <w:r>
              <w:rPr>
                <w:rFonts w:ascii="Times New Roman" w:cs="Times New Roman" w:hAnsi="Times New Roman" w:hint="eastAsia"/>
                <w:color w:val="000000"/>
                <w:sz w:val="22"/>
                <w:szCs w:val="22"/>
              </w:rPr>
              <w:t>74</w:t>
            </w:r>
          </w:p>
        </w:tc>
        <w:tc>
          <w:tcPr>
            <w:tcW w:w="12223" w:type="dxa"/>
            <w:vAlign w:val="center"/>
          </w:tcPr>
          <w:p>
            <w:pPr>
              <w:jc w:val="left"/>
              <w:rPr>
                <w:rFonts w:ascii="宋体" w:cs="宋体"/>
                <w:color w:val="000000"/>
                <w:sz w:val="22"/>
                <w:szCs w:val="22"/>
              </w:rPr>
            </w:pPr>
            <w:r>
              <w:rPr>
                <w:rFonts w:hint="eastAsia"/>
                <w:color w:val="000000"/>
                <w:sz w:val="22"/>
                <w:szCs w:val="22"/>
              </w:rPr>
              <w:t>《卫生产品控制法实施细则》的拟议修正案 韩国食品药品安全部提议对《卫生产品控制法实施细则》进行如下修订： A. 对于生产国、外国制造商、材料和颜色一样的一次性杯子、勺子、筷子、叉子、刀和吸管，即使产品类型不同，也应被认定为“同一公司相同的进口卫生用品”。</w:t>
            </w:r>
          </w:p>
        </w:tc>
      </w:tr>
      <w:tr>
        <w:tc>
          <w:tcPr>
            <w:tcW w:w="1384" w:type="dxa"/>
            <w:vMerge/>
            <w:vAlign w:val="center"/>
          </w:tcPr>
          <w:p/>
        </w:tc>
        <w:tc>
          <w:tcPr>
            <w:tcW w:w="567" w:type="dxa"/>
            <w:vAlign w:val="center"/>
          </w:tcPr>
          <w:p>
            <w:pPr>
              <w:jc w:val="center"/>
              <w:rPr>
                <w:rFonts w:ascii="Times New Roman" w:cs="Times New Roman" w:hAnsi="Times New Roman" w:hint="eastAsia"/>
                <w:color w:val="000000"/>
                <w:sz w:val="22"/>
                <w:szCs w:val="22"/>
              </w:rPr>
            </w:pPr>
            <w:r>
              <w:rPr>
                <w:rFonts w:ascii="Times New Roman" w:cs="Times New Roman" w:hAnsi="Times New Roman" w:hint="eastAsia"/>
                <w:color w:val="000000"/>
                <w:sz w:val="22"/>
                <w:szCs w:val="22"/>
              </w:rPr>
              <w:t>75</w:t>
            </w:r>
          </w:p>
        </w:tc>
        <w:tc>
          <w:tcPr>
            <w:tcW w:w="12223" w:type="dxa"/>
            <w:vAlign w:val="center"/>
          </w:tcPr>
          <w:p>
            <w:pPr>
              <w:jc w:val="left"/>
              <w:rPr>
                <w:rFonts w:ascii="宋体" w:cs="宋体"/>
                <w:color w:val="000000"/>
                <w:sz w:val="22"/>
                <w:szCs w:val="22"/>
              </w:rPr>
            </w:pPr>
            <w:r>
              <w:rPr>
                <w:rFonts w:hint="eastAsia"/>
                <w:color w:val="000000"/>
                <w:sz w:val="22"/>
                <w:szCs w:val="22"/>
              </w:rPr>
              <w:t>木材产品标准尺寸和质量标准部分修正案草案 内容简述：1.在刨花板种类中增加结构刨花板，并建立相关的质量标准、测试方法和标识术语。2.修改阻燃性的分类和表示方法，使其符合国土交通部第2023-24号公告（【建筑材料质量认定与管理标准】） 3.增加与刨花板相关的韩国工业标准</w:t>
            </w:r>
          </w:p>
        </w:tc>
      </w:tr>
      <w:tr>
        <w:tc>
          <w:tcPr>
            <w:tcW w:w="1384" w:type="dxa"/>
            <w:vMerge/>
            <w:vAlign w:val="center"/>
          </w:tcPr>
          <w:p/>
        </w:tc>
        <w:tc>
          <w:tcPr>
            <w:tcW w:w="567" w:type="dxa"/>
            <w:vAlign w:val="center"/>
          </w:tcPr>
          <w:p>
            <w:pPr>
              <w:jc w:val="center"/>
              <w:rPr>
                <w:rFonts w:ascii="Times New Roman" w:cs="Times New Roman" w:hAnsi="Times New Roman" w:hint="eastAsia"/>
                <w:color w:val="000000"/>
                <w:sz w:val="22"/>
                <w:szCs w:val="22"/>
              </w:rPr>
            </w:pPr>
            <w:r>
              <w:rPr>
                <w:rFonts w:ascii="Times New Roman" w:cs="Times New Roman" w:hAnsi="Times New Roman" w:hint="eastAsia"/>
                <w:color w:val="000000"/>
                <w:sz w:val="22"/>
                <w:szCs w:val="22"/>
              </w:rPr>
              <w:t>76</w:t>
            </w:r>
          </w:p>
        </w:tc>
        <w:tc>
          <w:tcPr>
            <w:tcW w:w="12223" w:type="dxa"/>
            <w:vAlign w:val="center"/>
          </w:tcPr>
          <w:p>
            <w:pPr>
              <w:jc w:val="left"/>
              <w:rPr>
                <w:rFonts w:ascii="宋体" w:cs="宋体"/>
                <w:color w:val="000000"/>
                <w:sz w:val="22"/>
                <w:szCs w:val="22"/>
              </w:rPr>
            </w:pPr>
            <w:r>
              <w:rPr>
                <w:rFonts w:hint="eastAsia"/>
                <w:color w:val="000000"/>
                <w:sz w:val="22"/>
                <w:szCs w:val="22"/>
              </w:rPr>
              <w:t>“保健功能性食品标准和规范”的拟修订案草案。  拟议修订案旨在：1.  删除蛋白质的生产方法。2. 修订裂蹄木层孔菌提取物学名。（Phillinus linteus → Sanghuangporus sanghuang）3.  增加锯棕榈果提取物的检测方法。</w:t>
            </w:r>
          </w:p>
        </w:tc>
      </w:tr>
      <w:tr>
        <w:tc>
          <w:tcPr>
            <w:tcW w:w="1384" w:type="dxa"/>
            <w:vMerge/>
            <w:vAlign w:val="center"/>
          </w:tcPr>
          <w:p/>
        </w:tc>
        <w:tc>
          <w:tcPr>
            <w:tcW w:w="567" w:type="dxa"/>
            <w:vAlign w:val="center"/>
          </w:tcPr>
          <w:p>
            <w:pPr>
              <w:jc w:val="center"/>
              <w:rPr>
                <w:rFonts w:ascii="Times New Roman" w:cs="Times New Roman" w:hAnsi="Times New Roman" w:hint="eastAsia"/>
                <w:color w:val="000000"/>
                <w:sz w:val="22"/>
                <w:szCs w:val="22"/>
              </w:rPr>
            </w:pPr>
            <w:r>
              <w:rPr>
                <w:rFonts w:ascii="Times New Roman" w:cs="Times New Roman" w:hAnsi="Times New Roman" w:hint="eastAsia"/>
                <w:color w:val="000000"/>
                <w:sz w:val="22"/>
                <w:szCs w:val="22"/>
              </w:rPr>
              <w:t>77</w:t>
            </w:r>
          </w:p>
        </w:tc>
        <w:tc>
          <w:tcPr>
            <w:tcW w:w="12223" w:type="dxa"/>
            <w:vAlign w:val="center"/>
          </w:tcPr>
          <w:p>
            <w:pPr>
              <w:jc w:val="left"/>
              <w:rPr>
                <w:rFonts w:ascii="宋体" w:cs="宋体"/>
                <w:color w:val="000000"/>
                <w:sz w:val="22"/>
                <w:szCs w:val="22"/>
              </w:rPr>
            </w:pPr>
            <w:r>
              <w:rPr>
                <w:rFonts w:hint="eastAsia"/>
                <w:color w:val="000000"/>
                <w:sz w:val="22"/>
                <w:szCs w:val="22"/>
              </w:rPr>
              <w:t>进口食品安全控制特别法》的拟议修订案。修订《特别法实施细则》附表10（进口食品分类标准等），删除第4款的“产品名称”（同一公司生产的同一产品）。目前，当根据实验室检测结果发现同一公司的若干相同产品不符合要求时，将在边境处拒绝即将进口的此类产品入境。然而，尽管进行了这一修订，但同一公司在同一日期生产的相同加工食品或加工畜产品也应具有与不合规产品相同的产品名称，将确定其为不合规产品。</w:t>
            </w:r>
          </w:p>
        </w:tc>
      </w:tr>
    </w:tbl>
    <w:p>
      <w:pPr>
        <w:autoSpaceDN w:val="0"/>
        <w:adjustRightInd w:val="0"/>
        <w:snapToGrid w:val="0"/>
        <w:spacing w:line="560" w:lineRule="exact"/>
        <w:ind w:firstLineChars="265" w:firstLine="848"/>
        <w:rPr>
          <w:rFonts w:ascii="方正仿宋_GBK" w:eastAsia="方正仿宋_GBK" w:cs="Times New Roman"/>
          <w:sz w:val="32"/>
          <w:szCs w:val="32"/>
        </w:rPr>
      </w:pPr>
      <w:r>
        <w:rPr>
          <w:rStyle w:val="19Char"/>
          <w:rFonts w:ascii="方正仿宋_GBK" w:eastAsia="方正仿宋_GBK" w:cs="方正仿宋_GBK" w:hint="eastAsia"/>
          <w:kern w:val="0"/>
          <w:sz w:val="32"/>
          <w:szCs w:val="32"/>
        </w:rPr>
        <w:t>感谢关注武汉海关的技术性贸易措施工作！后期，我们将持续收集和更新</w:t>
      </w:r>
      <w:r>
        <w:rPr>
          <w:rFonts w:ascii="方正仿宋_GBK" w:eastAsia="方正仿宋_GBK" w:cs="方正仿宋_GBK" w:hint="eastAsia"/>
          <w:sz w:val="32"/>
          <w:szCs w:val="32"/>
        </w:rPr>
        <w:t>各国（地区）技术性贸易措施</w:t>
      </w:r>
      <w:r>
        <w:rPr>
          <w:rStyle w:val="19Char"/>
          <w:rFonts w:ascii="方正仿宋_GBK" w:eastAsia="方正仿宋_GBK" w:cs="方正仿宋_GBK" w:hint="eastAsia"/>
          <w:kern w:val="0"/>
          <w:sz w:val="32"/>
          <w:szCs w:val="32"/>
        </w:rPr>
        <w:t>，</w:t>
      </w:r>
      <w:r>
        <w:rPr>
          <w:rFonts w:ascii="方正仿宋_GBK" w:eastAsia="方正仿宋_GBK" w:cs="方正仿宋_GBK" w:hint="eastAsia"/>
          <w:sz w:val="32"/>
          <w:szCs w:val="32"/>
        </w:rPr>
        <w:t>根据需要及时向社会公布</w:t>
      </w:r>
      <w:r>
        <w:rPr>
          <w:rStyle w:val="19Char"/>
          <w:rFonts w:ascii="方正仿宋_GBK" w:eastAsia="方正仿宋_GBK" w:cs="方正仿宋_GBK" w:hint="eastAsia"/>
          <w:kern w:val="0"/>
          <w:sz w:val="32"/>
          <w:szCs w:val="32"/>
        </w:rPr>
        <w:t>，优化营商环境，</w:t>
      </w:r>
      <w:r>
        <w:rPr>
          <w:rFonts w:ascii="方正仿宋_GBK" w:eastAsia="方正仿宋_GBK" w:cs="方正仿宋_GBK" w:hint="eastAsia"/>
          <w:sz w:val="32"/>
          <w:szCs w:val="32"/>
        </w:rPr>
        <w:t>做好稳外贸稳外资工作，服务外贸企业，帮助企业有效应对，降低技术性贸易措施带来的影响和损失。</w:t>
      </w:r>
    </w:p>
    <w:p>
      <w:pPr>
        <w:pStyle w:val="20"/>
        <w:ind w:firstLineChars="200" w:firstLine="640"/>
        <w:jc w:val="center"/>
        <w:rPr>
          <w:rFonts w:ascii="方正仿宋_GBK" w:eastAsia="方正仿宋_GBK" w:cs="Times New Roman"/>
          <w:sz w:val="32"/>
          <w:szCs w:val="32"/>
        </w:rPr>
      </w:pPr>
      <w:r>
        <w:rPr>
          <w:rFonts w:ascii="方正仿宋_GBK" w:eastAsia="方正仿宋_GBK" w:cs="方正仿宋_GBK" w:hint="eastAsia"/>
          <w:sz w:val="32"/>
          <w:szCs w:val="32"/>
        </w:rPr>
        <w:t xml:space="preserve">                                                               武汉海关</w:t>
      </w:r>
    </w:p>
    <w:p>
      <w:pPr>
        <w:autoSpaceDN w:val="0"/>
        <w:ind w:right="480" w:firstLineChars="200" w:firstLine="640"/>
        <w:jc w:val="right"/>
        <w:rPr>
          <w:rFonts w:cs="Times New Roman"/>
        </w:rPr>
      </w:pPr>
      <w:r>
        <w:rPr>
          <w:rFonts w:ascii="Times New Roman" w:eastAsia="方正仿宋_GBK" w:cs="Times New Roman" w:hAnsi="Times New Roman"/>
          <w:sz w:val="32"/>
          <w:szCs w:val="32"/>
        </w:rPr>
        <w:t>202</w:t>
      </w:r>
      <w:r>
        <w:rPr>
          <w:rFonts w:ascii="Times New Roman" w:eastAsia="方正仿宋_GBK" w:cs="Times New Roman" w:hAnsi="Times New Roman" w:hint="eastAsia"/>
          <w:sz w:val="32"/>
          <w:szCs w:val="32"/>
        </w:rPr>
        <w:t>3</w:t>
      </w:r>
      <w:r>
        <w:rPr>
          <w:rFonts w:ascii="Times New Roman" w:eastAsia="方正仿宋_GBK" w:cs="方正仿宋_GBK" w:hAnsi="Times New Roman" w:hint="eastAsia"/>
          <w:sz w:val="32"/>
          <w:szCs w:val="32"/>
        </w:rPr>
        <w:t>年</w:t>
      </w:r>
      <w:r>
        <w:rPr>
          <w:rFonts w:ascii="Times New Roman" w:eastAsia="方正仿宋_GBK" w:cs="Times New Roman" w:hAnsi="Times New Roman" w:hint="eastAsia"/>
          <w:sz w:val="32"/>
          <w:szCs w:val="32"/>
        </w:rPr>
        <w:t>5</w:t>
      </w:r>
      <w:r>
        <w:rPr>
          <w:rFonts w:ascii="Times New Roman" w:eastAsia="方正仿宋_GBK" w:cs="方正仿宋_GBK" w:hAnsi="Times New Roman" w:hint="eastAsia"/>
          <w:sz w:val="32"/>
          <w:szCs w:val="32"/>
        </w:rPr>
        <w:t>月</w:t>
      </w:r>
      <w:r>
        <w:rPr>
          <w:rFonts w:ascii="Times New Roman" w:eastAsia="方正仿宋_GBK" w:cs="Times New Roman" w:hAnsi="Times New Roman" w:hint="eastAsia"/>
          <w:sz w:val="32"/>
          <w:szCs w:val="32"/>
        </w:rPr>
        <w:t>12</w:t>
      </w:r>
      <w:r>
        <w:rPr>
          <w:rFonts w:ascii="Times New Roman" w:eastAsia="方正仿宋_GBK" w:cs="方正仿宋_GBK" w:hAnsi="Times New Roman" w:hint="eastAsia"/>
          <w:sz w:val="32"/>
          <w:szCs w:val="32"/>
        </w:rPr>
        <w:t>日</w:t>
      </w:r>
    </w:p>
    <w:sectPr>
      <w:pgSz w:w="16838" w:h="11906" w:orient="landscape"/>
      <w:pgMar w:top="1800" w:right="1440" w:bottom="1800" w:left="144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方正楷体_GBK">
    <w:panose1 w:val="03000509000000000000"/>
    <w:charset w:val="86"/>
    <w:family w:val="script"/>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trackRevisions/>
  <w:defaultTabStop w:val="420"/>
  <w:drawingGridHorizontalSpacing w:val="105"/>
  <w:drawingGridVerticalSpacing w:val="156"/>
  <w:displayHorizontalDrawingGridEvery w:val="0"/>
  <w:displayVerticalDrawingGridEvery w:val="1"/>
  <w:noPunctuationKerning/>
  <w:characterSpacingControl w:val="compressPunctuation"/>
  <w:noLineBreaksAfter w:lang="zh-CN" w:val="$([{£¥·‘“〈《「『【〔〖〝﹙﹛﹝＄（．［｛￡￥"/>
  <w:noLineBreaksBefore w:lang="zh-CN" w:val="!%),.:;&gt;?]}¢¨°·ˇˉ―‖’”…‰′″›℃∶、。〃〉》」』】〕〗〞︶︺︾﹀﹄﹚﹜﹞！＂％＇），．：；？］｀｜｝～￠"/>
  <w:compat>
    <w:spaceForUL/>
    <w:balanceSingleByteDoubleByteWidth/>
    <w:ulTrailSpace/>
    <w:doNotExpandShiftReturn/>
    <w:adjustLineHeightInTable/>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Calibri" w:hAnsi="Calibri"/>
      <w:kern w:val="2"/>
      <w:sz w:val="21"/>
      <w:szCs w:val="21"/>
      <w:lang w:val="en-US" w:eastAsia="zh-CN" w:bidi="ar-SA"/>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character" w:customStyle="1" w:styleId="17">
    <w:name w:val="NormalCharacter"/>
  </w:style>
  <w:style w:type="character" w:customStyle="1" w:styleId="18">
    <w:name w:val="im-content1"/>
    <w:basedOn w:val="10"/>
    <w:rPr>
      <w:color w:val="000000"/>
    </w:rPr>
  </w:style>
  <w:style w:type="paragraph" w:customStyle="1" w:styleId="19">
    <w:name w:val="样式"/>
    <w:link w:val="19Char"/>
    <w:rPr>
      <w:rFonts w:ascii="Times New Roman" w:eastAsia="宋体" w:cs="Times New Roman" w:hAnsi="Times New Roman"/>
      <w:lang w:val="en-US" w:eastAsia="zh-CN" w:bidi="ar-SA"/>
    </w:rPr>
  </w:style>
  <w:style w:type="character" w:customStyle="1" w:styleId="19Char">
    <w:name w:val="样式 Char"/>
    <w:basedOn w:val="10"/>
    <w:link w:val="19"/>
    <w:rPr>
      <w:rFonts w:ascii="Times New Roman" w:eastAsia="宋体" w:cs="Times New Roman" w:hAnsi="Times New Roman"/>
      <w:lang w:val="en-US" w:eastAsia="zh-CN" w:bidi="ar-SA"/>
    </w:rPr>
  </w:style>
  <w:style w:type="paragraph" w:customStyle="1" w:styleId="20">
    <w:name w:val="样式 1 10 磅"/>
    <w:pPr>
      <w:widowControl w:val="0"/>
      <w:jc w:val="both"/>
    </w:pPr>
    <w:rPr>
      <w:rFonts w:ascii="Calibri" w:eastAsia="宋体" w:cs="Calibri" w:hAnsi="Calibri"/>
      <w:kern w:val="2"/>
      <w:sz w:val="21"/>
      <w:szCs w:val="21"/>
      <w:lang w:val="en-US" w:eastAsia="zh-CN" w:bidi="ar-SA"/>
    </w:rPr>
  </w:style>
  <w:style w:type="character" w:customStyle="1" w:styleId="21">
    <w:name w:val="font21"/>
    <w:basedOn w:val="10"/>
    <w:rPr>
      <w:rFonts w:ascii="宋体" w:eastAsia="宋体" w:cs="宋体"/>
      <w:color w:val="000000"/>
      <w:sz w:val="18"/>
      <w:szCs w:val="18"/>
      <w:u w:val="none"/>
    </w:rPr>
  </w:style>
  <w:style w:type="character" w:customStyle="1" w:styleId="22">
    <w:name w:val="font31"/>
    <w:basedOn w:val="10"/>
    <w:rPr>
      <w:rFonts w:ascii="Calibri" w:cs="Calibri" w:hAnsi="Calibri"/>
      <w:color w:val="000000"/>
      <w:sz w:val="18"/>
      <w:szCs w:val="18"/>
      <w:u w:val="none"/>
    </w:rPr>
  </w:style>
  <w:style w:type="character" w:customStyle="1" w:styleId="23">
    <w:name w:val="font11"/>
    <w:basedOn w:val="10"/>
    <w:rPr>
      <w:rFonts w:ascii="Times New Roman" w:cs="Times New Roman" w:hAnsi="Times New Roman"/>
      <w:color w:val="000000"/>
      <w:sz w:val="24"/>
      <w:szCs w:val="24"/>
      <w:u w:val="none"/>
    </w:rPr>
  </w:style>
  <w:style w:type="character" w:customStyle="1" w:styleId="24">
    <w:name w:val="font51"/>
    <w:basedOn w:val="10"/>
    <w:rPr>
      <w:rFonts w:ascii="方正仿宋_GBK" w:eastAsia="方正仿宋_GBK" w:cs="方正仿宋_GBK"/>
      <w:color w:val="000000"/>
      <w:sz w:val="24"/>
      <w:szCs w:val="24"/>
      <w:u w:val="none"/>
    </w:rPr>
  </w:style>
  <w:style w:type="character" w:customStyle="1" w:styleId="25">
    <w:name w:val="font41"/>
    <w:basedOn w:val="10"/>
    <w:rPr>
      <w:rFonts w:ascii="方正仿宋_GBK" w:eastAsia="方正仿宋_GBK" w:cs="方正仿宋_GBK"/>
      <w:color w:val="000000"/>
      <w:sz w:val="24"/>
      <w:szCs w:val="24"/>
      <w:u w:val="none"/>
    </w:rPr>
  </w:style>
  <w:style w:type="character" w:customStyle="1" w:styleId="26">
    <w:name w:val="font61"/>
    <w:basedOn w:val="10"/>
    <w:rPr>
      <w:rFonts w:ascii="方正仿宋_GBK" w:eastAsia="方正仿宋_GBK" w:cs="方正仿宋_GBK"/>
      <w:color w:val="4D4D4D"/>
      <w:sz w:val="24"/>
      <w:szCs w:val="24"/>
      <w:u w:val="none"/>
    </w:rPr>
  </w:style>
  <w:style w:type="character" w:customStyle="1" w:styleId="27">
    <w:name w:val="font01"/>
    <w:basedOn w:val="10"/>
    <w:rPr>
      <w:rFonts w:ascii="宋体" w:eastAsia="宋体" w:cs="宋体"/>
      <w:color w:val="000000"/>
      <w:sz w:val="22"/>
      <w:szCs w:val="22"/>
      <w:u w:val="none"/>
    </w:rPr>
  </w:style>
  <w:style w:type="character" w:customStyle="1" w:styleId="28">
    <w:name w:val="font71"/>
    <w:basedOn w:val="10"/>
    <w:rPr>
      <w:rFonts w:ascii="Times New Roman" w:cs="Times New Roman" w:hAnsi="Times New Roman"/>
      <w:color w:val="auto"/>
      <w:sz w:val="32"/>
      <w:szCs w:val="32"/>
      <w:u w:val="none"/>
    </w:rPr>
  </w:style>
  <w:style w:type="character" w:customStyle="1" w:styleId="29">
    <w:name w:val="font81"/>
    <w:basedOn w:val="10"/>
    <w:rPr>
      <w:rFonts w:ascii="Times New Roman" w:cs="Times New Roman" w:hAnsi="Times New Roman"/>
      <w:color w:val="000000"/>
      <w:sz w:val="32"/>
      <w:szCs w:val="32"/>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768</TotalTime>
  <Application>Yozo_Office</Application>
  <Pages>15</Pages>
  <Words>17433</Words>
  <Characters>18924</Characters>
  <Lines>433</Lines>
  <Paragraphs>187</Paragraphs>
  <CharactersWithSpaces>19148</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title>武汉海关关于发布境外技术性贸易措施风险信息的提示</dc:title>
  <dc:creator>曾繁</dc:creator>
  <cp:lastModifiedBy>范思齐</cp:lastModifiedBy>
  <cp:revision>15</cp:revision>
  <dcterms:created xsi:type="dcterms:W3CDTF">2022-10-13T03:00:00Z</dcterms:created>
  <dcterms:modified xsi:type="dcterms:W3CDTF">2023-05-12T06:22:31Z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2052-11.1.0.13703</vt:lpwstr>
  </property>
  <property fmtid="{D5CDD505-2E9C-101B-9397-08002B2CF9AE}" pid="3" name="ICV">
    <vt:lpwstr>CF9849E3307943108F88771BECF146AD</vt:lpwstr>
  </property>
</Properties>
</file>