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F0" w:rsidRDefault="00B907F0" w:rsidP="00681735">
      <w:pPr>
        <w:autoSpaceDN w:val="0"/>
        <w:adjustRightInd w:val="0"/>
        <w:snapToGrid w:val="0"/>
        <w:spacing w:line="560" w:lineRule="exact"/>
        <w:ind w:firstLine="420"/>
        <w:jc w:val="center"/>
        <w:rPr>
          <w:rFonts w:ascii="方正小标宋_GBK" w:eastAsia="方正小标宋_GBK"/>
          <w:sz w:val="44"/>
          <w:szCs w:val="44"/>
        </w:rPr>
      </w:pPr>
      <w:r>
        <w:rPr>
          <w:rFonts w:ascii="方正小标宋_GBK" w:eastAsia="方正小标宋_GBK" w:hint="eastAsia"/>
          <w:sz w:val="44"/>
          <w:szCs w:val="44"/>
        </w:rPr>
        <w:t>武汉海关关于发布境外技术性贸易措施风险信息的提示</w:t>
      </w:r>
    </w:p>
    <w:p w:rsidR="00B907F0" w:rsidRDefault="00B907F0" w:rsidP="00681735">
      <w:pPr>
        <w:autoSpaceDN w:val="0"/>
        <w:adjustRightInd w:val="0"/>
        <w:snapToGrid w:val="0"/>
        <w:spacing w:line="560" w:lineRule="exact"/>
        <w:jc w:val="center"/>
        <w:rPr>
          <w:rFonts w:ascii="方正楷体_GBK" w:eastAsia="方正楷体_GBK"/>
          <w:sz w:val="32"/>
          <w:szCs w:val="32"/>
        </w:rPr>
      </w:pPr>
      <w:r>
        <w:rPr>
          <w:rFonts w:ascii="方正楷体_GBK" w:eastAsia="方正楷体_GBK" w:hint="eastAsia"/>
          <w:sz w:val="32"/>
          <w:szCs w:val="32"/>
        </w:rPr>
        <w:t>（</w:t>
      </w:r>
      <w:r>
        <w:rPr>
          <w:rFonts w:ascii="方正楷体_GBK" w:eastAsia="方正楷体_GBK"/>
          <w:sz w:val="32"/>
          <w:szCs w:val="32"/>
        </w:rPr>
        <w:t>202205</w:t>
      </w:r>
      <w:r>
        <w:rPr>
          <w:rFonts w:ascii="方正楷体_GBK" w:eastAsia="方正楷体_GBK" w:hint="eastAsia"/>
          <w:sz w:val="32"/>
          <w:szCs w:val="32"/>
        </w:rPr>
        <w:t>期</w:t>
      </w:r>
      <w:r>
        <w:rPr>
          <w:rFonts w:ascii="方正楷体_GBK" w:eastAsia="方正楷体_GBK"/>
          <w:sz w:val="32"/>
          <w:szCs w:val="32"/>
        </w:rPr>
        <w:t xml:space="preserve"> </w:t>
      </w:r>
      <w:r>
        <w:rPr>
          <w:rFonts w:ascii="方正楷体_GBK" w:eastAsia="方正楷体_GBK" w:hint="eastAsia"/>
          <w:sz w:val="32"/>
          <w:szCs w:val="32"/>
        </w:rPr>
        <w:t>总第</w:t>
      </w:r>
      <w:r>
        <w:rPr>
          <w:rFonts w:ascii="方正楷体_GBK" w:eastAsia="方正楷体_GBK"/>
          <w:sz w:val="32"/>
          <w:szCs w:val="32"/>
        </w:rPr>
        <w:t>24</w:t>
      </w:r>
      <w:r>
        <w:rPr>
          <w:rFonts w:ascii="方正楷体_GBK" w:eastAsia="方正楷体_GBK" w:hint="eastAsia"/>
          <w:sz w:val="32"/>
          <w:szCs w:val="32"/>
        </w:rPr>
        <w:t>期）</w:t>
      </w:r>
    </w:p>
    <w:p w:rsidR="00B907F0" w:rsidRDefault="00B907F0" w:rsidP="00681735">
      <w:pPr>
        <w:autoSpaceDN w:val="0"/>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当前我国面临复杂严峻的外贸形势，国外技术性贸易措施依然是影响我国企业出口的重要因素之一。为进一步降低技术性贸易措施对湖北出口企业可能造成的影响，推动湖北产品更好“走出去”，提高贸易便利化水平，助力企业开拓海外市场，武汉海关收集整理了近期部分境外技术性贸易措施，供外贸企业参考。现将收集的相关信息公布提示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567"/>
        <w:gridCol w:w="12223"/>
      </w:tblGrid>
      <w:tr w:rsidR="00B907F0" w:rsidTr="008E796A">
        <w:tc>
          <w:tcPr>
            <w:tcW w:w="1384" w:type="dxa"/>
          </w:tcPr>
          <w:p w:rsidR="00B907F0" w:rsidRPr="008E796A" w:rsidRDefault="00B907F0" w:rsidP="008E796A">
            <w:pPr>
              <w:jc w:val="center"/>
              <w:rPr>
                <w:b/>
              </w:rPr>
            </w:pPr>
            <w:r w:rsidRPr="008E796A">
              <w:rPr>
                <w:rFonts w:hint="eastAsia"/>
                <w:b/>
              </w:rPr>
              <w:t>国家</w:t>
            </w:r>
          </w:p>
          <w:p w:rsidR="00B907F0" w:rsidRPr="008E796A" w:rsidRDefault="00B907F0" w:rsidP="008E796A">
            <w:pPr>
              <w:jc w:val="center"/>
              <w:rPr>
                <w:b/>
              </w:rPr>
            </w:pPr>
            <w:r w:rsidRPr="008E796A">
              <w:rPr>
                <w:rFonts w:hint="eastAsia"/>
                <w:b/>
              </w:rPr>
              <w:t>（地区组织）</w:t>
            </w:r>
          </w:p>
        </w:tc>
        <w:tc>
          <w:tcPr>
            <w:tcW w:w="567" w:type="dxa"/>
          </w:tcPr>
          <w:p w:rsidR="00B907F0" w:rsidRDefault="00B907F0" w:rsidP="008E796A">
            <w:pPr>
              <w:jc w:val="center"/>
            </w:pPr>
            <w:r w:rsidRPr="008E796A">
              <w:rPr>
                <w:rFonts w:hint="eastAsia"/>
                <w:b/>
              </w:rPr>
              <w:t>序号</w:t>
            </w:r>
          </w:p>
        </w:tc>
        <w:tc>
          <w:tcPr>
            <w:tcW w:w="12223" w:type="dxa"/>
            <w:vAlign w:val="center"/>
          </w:tcPr>
          <w:p w:rsidR="00B907F0" w:rsidRPr="008E796A" w:rsidRDefault="00B907F0" w:rsidP="008E796A">
            <w:pPr>
              <w:jc w:val="center"/>
              <w:rPr>
                <w:sz w:val="28"/>
                <w:szCs w:val="28"/>
              </w:rPr>
            </w:pPr>
            <w:r w:rsidRPr="008E796A">
              <w:rPr>
                <w:rFonts w:hint="eastAsia"/>
                <w:b/>
                <w:sz w:val="28"/>
                <w:szCs w:val="28"/>
              </w:rPr>
              <w:t>提示信息</w:t>
            </w:r>
          </w:p>
        </w:tc>
      </w:tr>
      <w:tr w:rsidR="00B907F0" w:rsidTr="008E796A">
        <w:tc>
          <w:tcPr>
            <w:tcW w:w="1384" w:type="dxa"/>
            <w:vMerge w:val="restart"/>
            <w:vAlign w:val="center"/>
          </w:tcPr>
          <w:p w:rsidR="00B907F0" w:rsidRPr="008E796A" w:rsidRDefault="00B907F0" w:rsidP="008E796A">
            <w:pPr>
              <w:jc w:val="center"/>
              <w:rPr>
                <w:b/>
              </w:rPr>
            </w:pPr>
            <w:r w:rsidRPr="008E796A">
              <w:rPr>
                <w:rFonts w:hint="eastAsia"/>
                <w:b/>
              </w:rPr>
              <w:t>日本</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1</w:t>
            </w:r>
          </w:p>
        </w:tc>
        <w:tc>
          <w:tcPr>
            <w:tcW w:w="12223" w:type="dxa"/>
          </w:tcPr>
          <w:p w:rsidR="00B907F0" w:rsidRPr="008E796A" w:rsidRDefault="00B907F0">
            <w:pPr>
              <w:rPr>
                <w:rFonts w:ascii="宋体"/>
                <w:sz w:val="22"/>
                <w:szCs w:val="22"/>
              </w:rPr>
            </w:pPr>
            <w:r w:rsidRPr="008E796A">
              <w:rPr>
                <w:rFonts w:ascii="宋体" w:hAnsi="宋体" w:hint="eastAsia"/>
                <w:sz w:val="22"/>
                <w:szCs w:val="22"/>
              </w:rPr>
              <w:t>日本暂停从菲律宾进口禽肉和蛋制品。为防止高致病性禽流感（</w:t>
            </w:r>
            <w:r w:rsidRPr="008E796A">
              <w:rPr>
                <w:rFonts w:ascii="宋体" w:hAnsi="宋体"/>
                <w:sz w:val="22"/>
                <w:szCs w:val="22"/>
              </w:rPr>
              <w:t>HPAI</w:t>
            </w:r>
            <w:r w:rsidRPr="008E796A">
              <w:rPr>
                <w:rFonts w:ascii="宋体" w:hAnsi="宋体" w:hint="eastAsia"/>
                <w:sz w:val="22"/>
                <w:szCs w:val="22"/>
              </w:rPr>
              <w:t>）流入日本，依据《从菲律宾向日本出口禽肉及其制品的动物卫生要求》以及《家畜传染病防控法》第</w:t>
            </w:r>
            <w:r w:rsidRPr="008E796A">
              <w:rPr>
                <w:rFonts w:ascii="宋体" w:hAnsi="宋体"/>
                <w:sz w:val="22"/>
                <w:szCs w:val="22"/>
              </w:rPr>
              <w:t>37</w:t>
            </w:r>
            <w:r w:rsidRPr="008E796A">
              <w:rPr>
                <w:rFonts w:ascii="宋体" w:hAnsi="宋体" w:hint="eastAsia"/>
                <w:sz w:val="22"/>
                <w:szCs w:val="22"/>
              </w:rPr>
              <w:t>条和第</w:t>
            </w:r>
            <w:r w:rsidRPr="008E796A">
              <w:rPr>
                <w:rFonts w:ascii="宋体" w:hAnsi="宋体"/>
                <w:sz w:val="22"/>
                <w:szCs w:val="22"/>
              </w:rPr>
              <w:t>44</w:t>
            </w:r>
            <w:r w:rsidRPr="008E796A">
              <w:rPr>
                <w:rFonts w:ascii="宋体" w:hAnsi="宋体" w:hint="eastAsia"/>
                <w:sz w:val="22"/>
                <w:szCs w:val="22"/>
              </w:rPr>
              <w:t>条的规定，日本农林水产省自</w:t>
            </w:r>
            <w:r w:rsidRPr="008E796A">
              <w:rPr>
                <w:rFonts w:ascii="宋体" w:hAnsi="宋体"/>
                <w:sz w:val="22"/>
                <w:szCs w:val="22"/>
              </w:rPr>
              <w:t>2022</w:t>
            </w:r>
            <w:r w:rsidRPr="008E796A">
              <w:rPr>
                <w:rFonts w:ascii="宋体" w:hAnsi="宋体" w:hint="eastAsia"/>
                <w:sz w:val="22"/>
                <w:szCs w:val="22"/>
              </w:rPr>
              <w:t>年</w:t>
            </w:r>
            <w:r w:rsidRPr="008E796A">
              <w:rPr>
                <w:rFonts w:ascii="宋体" w:hAnsi="宋体"/>
                <w:sz w:val="22"/>
                <w:szCs w:val="22"/>
              </w:rPr>
              <w:t>2</w:t>
            </w:r>
            <w:r w:rsidRPr="008E796A">
              <w:rPr>
                <w:rFonts w:ascii="宋体" w:hAnsi="宋体" w:hint="eastAsia"/>
                <w:sz w:val="22"/>
                <w:szCs w:val="22"/>
              </w:rPr>
              <w:t>月</w:t>
            </w:r>
            <w:r w:rsidRPr="008E796A">
              <w:rPr>
                <w:rFonts w:ascii="宋体" w:hAnsi="宋体"/>
                <w:sz w:val="22"/>
                <w:szCs w:val="22"/>
              </w:rPr>
              <w:t>22</w:t>
            </w:r>
            <w:r w:rsidRPr="008E796A">
              <w:rPr>
                <w:rFonts w:ascii="宋体" w:hAnsi="宋体" w:hint="eastAsia"/>
                <w:sz w:val="22"/>
                <w:szCs w:val="22"/>
              </w:rPr>
              <w:t>日起暂停从菲律宾进口禽肉和蛋制品，包括经第三国转运的产品。</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2</w:t>
            </w:r>
          </w:p>
        </w:tc>
        <w:tc>
          <w:tcPr>
            <w:tcW w:w="12223" w:type="dxa"/>
          </w:tcPr>
          <w:p w:rsidR="00B907F0" w:rsidRPr="008E796A" w:rsidRDefault="00B907F0">
            <w:pPr>
              <w:rPr>
                <w:rFonts w:ascii="宋体"/>
                <w:sz w:val="22"/>
                <w:szCs w:val="22"/>
              </w:rPr>
            </w:pPr>
            <w:r w:rsidRPr="008E796A">
              <w:rPr>
                <w:rFonts w:ascii="宋体" w:hAnsi="宋体" w:hint="eastAsia"/>
                <w:sz w:val="22"/>
                <w:szCs w:val="22"/>
              </w:rPr>
              <w:t>日本暂停从法国缅因</w:t>
            </w:r>
            <w:r w:rsidRPr="008E796A">
              <w:rPr>
                <w:rFonts w:ascii="宋体"/>
                <w:sz w:val="22"/>
                <w:szCs w:val="22"/>
              </w:rPr>
              <w:t>-</w:t>
            </w:r>
            <w:r w:rsidRPr="008E796A">
              <w:rPr>
                <w:rFonts w:ascii="宋体" w:hAnsi="宋体" w:hint="eastAsia"/>
                <w:sz w:val="22"/>
                <w:szCs w:val="22"/>
              </w:rPr>
              <w:t>卢瓦尔进口禽肉和蛋制品。为防止高致病性禽流感（</w:t>
            </w:r>
            <w:r w:rsidRPr="008E796A">
              <w:rPr>
                <w:rFonts w:ascii="宋体" w:hAnsi="宋体"/>
                <w:sz w:val="22"/>
                <w:szCs w:val="22"/>
              </w:rPr>
              <w:t>HPAI</w:t>
            </w:r>
            <w:r w:rsidRPr="008E796A">
              <w:rPr>
                <w:rFonts w:ascii="宋体" w:hAnsi="宋体" w:hint="eastAsia"/>
                <w:sz w:val="22"/>
                <w:szCs w:val="22"/>
              </w:rPr>
              <w:t>）流入日本，依据《从法国向日本出口禽类日龄鸡的动物卫生要求》、《从法国向日本出口禽肉等产品的动物卫生要求》以及《家畜传染病防控法》第</w:t>
            </w:r>
            <w:r w:rsidRPr="008E796A">
              <w:rPr>
                <w:rFonts w:ascii="宋体" w:hAnsi="宋体"/>
                <w:sz w:val="22"/>
                <w:szCs w:val="22"/>
              </w:rPr>
              <w:t>37</w:t>
            </w:r>
            <w:r w:rsidRPr="008E796A">
              <w:rPr>
                <w:rFonts w:ascii="宋体" w:hAnsi="宋体" w:hint="eastAsia"/>
                <w:sz w:val="22"/>
                <w:szCs w:val="22"/>
              </w:rPr>
              <w:t>条和第</w:t>
            </w:r>
            <w:r w:rsidRPr="008E796A">
              <w:rPr>
                <w:rFonts w:ascii="宋体" w:hAnsi="宋体"/>
                <w:sz w:val="22"/>
                <w:szCs w:val="22"/>
              </w:rPr>
              <w:t>44</w:t>
            </w:r>
            <w:r w:rsidRPr="008E796A">
              <w:rPr>
                <w:rFonts w:ascii="宋体" w:hAnsi="宋体" w:hint="eastAsia"/>
                <w:sz w:val="22"/>
                <w:szCs w:val="22"/>
              </w:rPr>
              <w:t>条的规定，日本农林水产省自</w:t>
            </w:r>
            <w:r w:rsidRPr="008E796A">
              <w:rPr>
                <w:rFonts w:ascii="宋体" w:hAnsi="宋体"/>
                <w:sz w:val="22"/>
                <w:szCs w:val="22"/>
              </w:rPr>
              <w:t>2022</w:t>
            </w:r>
            <w:r w:rsidRPr="008E796A">
              <w:rPr>
                <w:rFonts w:ascii="宋体" w:hAnsi="宋体" w:hint="eastAsia"/>
                <w:sz w:val="22"/>
                <w:szCs w:val="22"/>
              </w:rPr>
              <w:t>年</w:t>
            </w:r>
            <w:r w:rsidRPr="008E796A">
              <w:rPr>
                <w:rFonts w:ascii="宋体" w:hAnsi="宋体"/>
                <w:sz w:val="22"/>
                <w:szCs w:val="22"/>
              </w:rPr>
              <w:t>2</w:t>
            </w:r>
            <w:r w:rsidRPr="008E796A">
              <w:rPr>
                <w:rFonts w:ascii="宋体" w:hAnsi="宋体" w:hint="eastAsia"/>
                <w:sz w:val="22"/>
                <w:szCs w:val="22"/>
              </w:rPr>
              <w:t>月</w:t>
            </w:r>
            <w:r w:rsidRPr="008E796A">
              <w:rPr>
                <w:rFonts w:ascii="宋体" w:hAnsi="宋体"/>
                <w:sz w:val="22"/>
                <w:szCs w:val="22"/>
              </w:rPr>
              <w:t>16</w:t>
            </w:r>
            <w:r w:rsidRPr="008E796A">
              <w:rPr>
                <w:rFonts w:ascii="宋体" w:hAnsi="宋体" w:hint="eastAsia"/>
                <w:sz w:val="22"/>
                <w:szCs w:val="22"/>
              </w:rPr>
              <w:t>日起暂停从法国缅因</w:t>
            </w:r>
            <w:r w:rsidRPr="008E796A">
              <w:rPr>
                <w:rFonts w:ascii="宋体"/>
                <w:sz w:val="22"/>
                <w:szCs w:val="22"/>
              </w:rPr>
              <w:t>-</w:t>
            </w:r>
            <w:r w:rsidRPr="008E796A">
              <w:rPr>
                <w:rFonts w:ascii="宋体" w:hAnsi="宋体" w:hint="eastAsia"/>
                <w:sz w:val="22"/>
                <w:szCs w:val="22"/>
              </w:rPr>
              <w:t>卢瓦尔进口活禽、禽肉和蛋制品，包括经第三国转运的产品。</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3</w:t>
            </w:r>
          </w:p>
        </w:tc>
        <w:tc>
          <w:tcPr>
            <w:tcW w:w="12223" w:type="dxa"/>
          </w:tcPr>
          <w:p w:rsidR="00B907F0" w:rsidRPr="008E796A" w:rsidRDefault="00B907F0">
            <w:pPr>
              <w:rPr>
                <w:rFonts w:ascii="宋体"/>
                <w:sz w:val="22"/>
                <w:szCs w:val="22"/>
              </w:rPr>
            </w:pPr>
            <w:r w:rsidRPr="008E796A">
              <w:rPr>
                <w:rFonts w:ascii="宋体" w:hAnsi="宋体" w:hint="eastAsia"/>
                <w:sz w:val="22"/>
                <w:szCs w:val="22"/>
              </w:rPr>
              <w:t>日本暂停从美国纽约州进口活禽以及从美国纽约州诺克斯县进口禽肉和蛋制品。为防止高致病性禽流感（</w:t>
            </w:r>
            <w:r w:rsidRPr="008E796A">
              <w:rPr>
                <w:rFonts w:ascii="宋体" w:hAnsi="宋体"/>
                <w:sz w:val="22"/>
                <w:szCs w:val="22"/>
              </w:rPr>
              <w:t>HPAI</w:t>
            </w:r>
            <w:r w:rsidRPr="008E796A">
              <w:rPr>
                <w:rFonts w:ascii="宋体" w:hAnsi="宋体" w:hint="eastAsia"/>
                <w:sz w:val="22"/>
                <w:szCs w:val="22"/>
              </w:rPr>
              <w:t>）流入日本，依据《家畜传染病防治法》第</w:t>
            </w:r>
            <w:r w:rsidRPr="008E796A">
              <w:rPr>
                <w:rFonts w:ascii="宋体" w:hAnsi="宋体"/>
                <w:sz w:val="22"/>
                <w:szCs w:val="22"/>
              </w:rPr>
              <w:t>37</w:t>
            </w:r>
            <w:r w:rsidRPr="008E796A">
              <w:rPr>
                <w:rFonts w:ascii="宋体" w:hAnsi="宋体" w:hint="eastAsia"/>
                <w:sz w:val="22"/>
                <w:szCs w:val="22"/>
              </w:rPr>
              <w:t>条和第</w:t>
            </w:r>
            <w:r w:rsidRPr="008E796A">
              <w:rPr>
                <w:rFonts w:ascii="宋体" w:hAnsi="宋体"/>
                <w:sz w:val="22"/>
                <w:szCs w:val="22"/>
              </w:rPr>
              <w:t>44</w:t>
            </w:r>
            <w:r w:rsidRPr="008E796A">
              <w:rPr>
                <w:rFonts w:ascii="宋体" w:hAnsi="宋体" w:hint="eastAsia"/>
                <w:sz w:val="22"/>
                <w:szCs w:val="22"/>
              </w:rPr>
              <w:t>条、《从美国向日本出口日龄鸡和种蛋的动物卫生要求》以及《从美国向日本出口禽肉等产品的动物卫生要求》的规定，日本农林水产省自</w:t>
            </w:r>
            <w:r w:rsidRPr="008E796A">
              <w:rPr>
                <w:rFonts w:ascii="宋体" w:hAnsi="宋体"/>
                <w:sz w:val="22"/>
                <w:szCs w:val="22"/>
              </w:rPr>
              <w:t>2022</w:t>
            </w:r>
            <w:r w:rsidRPr="008E796A">
              <w:rPr>
                <w:rFonts w:ascii="宋体" w:hAnsi="宋体" w:hint="eastAsia"/>
                <w:sz w:val="22"/>
                <w:szCs w:val="22"/>
              </w:rPr>
              <w:t>年</w:t>
            </w:r>
            <w:r w:rsidRPr="008E796A">
              <w:rPr>
                <w:rFonts w:ascii="宋体" w:hAnsi="宋体"/>
                <w:sz w:val="22"/>
                <w:szCs w:val="22"/>
              </w:rPr>
              <w:t>2</w:t>
            </w:r>
            <w:r w:rsidRPr="008E796A">
              <w:rPr>
                <w:rFonts w:ascii="宋体" w:hAnsi="宋体" w:hint="eastAsia"/>
                <w:sz w:val="22"/>
                <w:szCs w:val="22"/>
              </w:rPr>
              <w:t>月</w:t>
            </w:r>
            <w:r w:rsidRPr="008E796A">
              <w:rPr>
                <w:rFonts w:ascii="宋体" w:hAnsi="宋体"/>
                <w:sz w:val="22"/>
                <w:szCs w:val="22"/>
              </w:rPr>
              <w:t>21</w:t>
            </w:r>
            <w:r w:rsidRPr="008E796A">
              <w:rPr>
                <w:rFonts w:ascii="宋体" w:hAnsi="宋体" w:hint="eastAsia"/>
                <w:sz w:val="22"/>
                <w:szCs w:val="22"/>
              </w:rPr>
              <w:t>日起暂停从美国纽约州进口活禽以及从美国纽约州诺克斯县进口禽肉和蛋制品，包括经第三国转运的产品。</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4</w:t>
            </w:r>
          </w:p>
        </w:tc>
        <w:tc>
          <w:tcPr>
            <w:tcW w:w="12223" w:type="dxa"/>
          </w:tcPr>
          <w:p w:rsidR="00B907F0" w:rsidRDefault="00B907F0">
            <w:r w:rsidRPr="0074211E">
              <w:rPr>
                <w:rFonts w:hint="eastAsia"/>
              </w:rPr>
              <w:t>日本修订食品标签标准。</w:t>
            </w:r>
            <w:r w:rsidRPr="0074211E">
              <w:t>2022</w:t>
            </w:r>
            <w:r w:rsidRPr="0074211E">
              <w:rPr>
                <w:rFonts w:hint="eastAsia"/>
              </w:rPr>
              <w:t>年</w:t>
            </w:r>
            <w:r w:rsidRPr="0074211E">
              <w:t>3</w:t>
            </w:r>
            <w:r w:rsidRPr="0074211E">
              <w:rPr>
                <w:rFonts w:hint="eastAsia"/>
              </w:rPr>
              <w:t>月</w:t>
            </w:r>
            <w:r w:rsidRPr="0074211E">
              <w:t>30</w:t>
            </w:r>
            <w:r w:rsidRPr="0074211E">
              <w:rPr>
                <w:rFonts w:hint="eastAsia"/>
              </w:rPr>
              <w:t>日，日本内阁府发布</w:t>
            </w:r>
            <w:r w:rsidRPr="0074211E">
              <w:t>21</w:t>
            </w:r>
            <w:r w:rsidRPr="0074211E">
              <w:rPr>
                <w:rFonts w:hint="eastAsia"/>
              </w:rPr>
              <w:t>号令，修订《食品标签标准》。修订的主要内容包括：（</w:t>
            </w:r>
            <w:r w:rsidRPr="0074211E">
              <w:t>1</w:t>
            </w:r>
            <w:r w:rsidRPr="0074211E">
              <w:rPr>
                <w:rFonts w:hint="eastAsia"/>
              </w:rPr>
              <w:t>）鉴于高油酸转基因大豆可以通过常规方式培育，因此不再将其列入转基因食品清单，含有该种成分的食品无需在标签上标注含有转基因成分的声称；（</w:t>
            </w:r>
            <w:r w:rsidRPr="0074211E">
              <w:t>2</w:t>
            </w:r>
            <w:r w:rsidRPr="0074211E">
              <w:rPr>
                <w:rFonts w:hint="eastAsia"/>
              </w:rPr>
              <w:t>）鉴于转基因芥菜已经通过安全审查并上市销售，因此含有该种成分的食品应在标签上标注含有转基因成分的声称；（</w:t>
            </w:r>
            <w:r w:rsidRPr="0074211E">
              <w:t>3</w:t>
            </w:r>
            <w:r w:rsidRPr="0074211E">
              <w:rPr>
                <w:rFonts w:hint="eastAsia"/>
              </w:rPr>
              <w:t>）修订食品标签上部分营养成分（如脂肪酸）的含量测定方法等。该修订自发布之日起实施。</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5</w:t>
            </w:r>
          </w:p>
        </w:tc>
        <w:tc>
          <w:tcPr>
            <w:tcW w:w="12223" w:type="dxa"/>
            <w:vAlign w:val="center"/>
          </w:tcPr>
          <w:p w:rsidR="00B907F0" w:rsidRPr="008E796A" w:rsidRDefault="00B907F0">
            <w:pPr>
              <w:rPr>
                <w:rFonts w:ascii="宋体" w:cs="宋体"/>
                <w:sz w:val="22"/>
                <w:szCs w:val="22"/>
              </w:rPr>
            </w:pPr>
            <w:r w:rsidRPr="008E796A">
              <w:rPr>
                <w:rFonts w:hint="eastAsia"/>
                <w:color w:val="000000"/>
                <w:sz w:val="22"/>
                <w:szCs w:val="22"/>
              </w:rPr>
              <w:t>日本修订食品中放射性物质检查的检查计划。</w:t>
            </w:r>
            <w:r w:rsidRPr="008E796A">
              <w:rPr>
                <w:color w:val="000000"/>
                <w:sz w:val="22"/>
                <w:szCs w:val="22"/>
              </w:rPr>
              <w:t>2022</w:t>
            </w:r>
            <w:r w:rsidRPr="008E796A">
              <w:rPr>
                <w:rFonts w:hint="eastAsia"/>
                <w:color w:val="000000"/>
                <w:sz w:val="22"/>
                <w:szCs w:val="22"/>
              </w:rPr>
              <w:t>年</w:t>
            </w:r>
            <w:r w:rsidRPr="008E796A">
              <w:rPr>
                <w:color w:val="000000"/>
                <w:sz w:val="22"/>
                <w:szCs w:val="22"/>
              </w:rPr>
              <w:t>3</w:t>
            </w:r>
            <w:r w:rsidRPr="008E796A">
              <w:rPr>
                <w:rFonts w:hint="eastAsia"/>
                <w:color w:val="000000"/>
                <w:sz w:val="22"/>
                <w:szCs w:val="22"/>
              </w:rPr>
              <w:t>月</w:t>
            </w:r>
            <w:r w:rsidRPr="008E796A">
              <w:rPr>
                <w:color w:val="000000"/>
                <w:sz w:val="22"/>
                <w:szCs w:val="22"/>
              </w:rPr>
              <w:t>30</w:t>
            </w:r>
            <w:r w:rsidRPr="008E796A">
              <w:rPr>
                <w:rFonts w:hint="eastAsia"/>
                <w:color w:val="000000"/>
                <w:sz w:val="22"/>
                <w:szCs w:val="22"/>
              </w:rPr>
              <w:t>日，日本厚生劳动省修订食品中放射性物质检查的检查计划。主要内容：（</w:t>
            </w:r>
            <w:r w:rsidRPr="008E796A">
              <w:rPr>
                <w:color w:val="000000"/>
                <w:sz w:val="22"/>
                <w:szCs w:val="22"/>
              </w:rPr>
              <w:t>1</w:t>
            </w:r>
            <w:r w:rsidRPr="008E796A">
              <w:rPr>
                <w:rFonts w:hint="eastAsia"/>
                <w:color w:val="000000"/>
                <w:sz w:val="22"/>
                <w:szCs w:val="22"/>
              </w:rPr>
              <w:t>）根据过去一年放射性的检查结果，对被检查食品进行评估。检出放射性铯超过标准值食品：野生蘑菇、木耳、蕨类植物、竹笋、野猪、熊、鹿、野鸡；检出放射性铯超过标准值</w:t>
            </w:r>
            <w:r w:rsidRPr="008E796A">
              <w:rPr>
                <w:color w:val="000000"/>
                <w:sz w:val="22"/>
                <w:szCs w:val="22"/>
              </w:rPr>
              <w:t>1/2</w:t>
            </w:r>
            <w:r w:rsidRPr="008E796A">
              <w:rPr>
                <w:rFonts w:hint="eastAsia"/>
                <w:color w:val="000000"/>
                <w:sz w:val="22"/>
                <w:szCs w:val="22"/>
              </w:rPr>
              <w:t>的食品：牛奶、牛肉、陆生和海水产品、干香菇、干紫菜、干鱼贝、干菜、干燥后用作食品的水果等；核事故发生地各直辖市发运的未经检验的物品；（</w:t>
            </w:r>
            <w:r w:rsidRPr="008E796A">
              <w:rPr>
                <w:color w:val="000000"/>
                <w:sz w:val="22"/>
                <w:szCs w:val="22"/>
              </w:rPr>
              <w:t>2</w:t>
            </w:r>
            <w:r w:rsidRPr="008E796A">
              <w:rPr>
                <w:rFonts w:hint="eastAsia"/>
                <w:color w:val="000000"/>
                <w:sz w:val="22"/>
                <w:szCs w:val="22"/>
              </w:rPr>
              <w:t>）增加了蔬菜、水果；海水产品；牛肉等</w:t>
            </w:r>
            <w:r w:rsidRPr="008E796A">
              <w:rPr>
                <w:color w:val="000000"/>
                <w:sz w:val="22"/>
                <w:szCs w:val="22"/>
              </w:rPr>
              <w:t>7</w:t>
            </w:r>
            <w:r w:rsidRPr="008E796A">
              <w:rPr>
                <w:rFonts w:hint="eastAsia"/>
                <w:color w:val="000000"/>
                <w:sz w:val="22"/>
                <w:szCs w:val="22"/>
              </w:rPr>
              <w:t>个产品类别的检查计划。该计划自发布之日起实施。</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6</w:t>
            </w:r>
          </w:p>
        </w:tc>
        <w:tc>
          <w:tcPr>
            <w:tcW w:w="12223" w:type="dxa"/>
          </w:tcPr>
          <w:p w:rsidR="00B907F0" w:rsidRPr="0074211E" w:rsidRDefault="00B907F0">
            <w:r w:rsidRPr="0074211E">
              <w:rPr>
                <w:rFonts w:hint="eastAsia"/>
              </w:rPr>
              <w:t>日本修订食品中放射性物质检查的检查计划。</w:t>
            </w:r>
            <w:r w:rsidRPr="0074211E">
              <w:t>2022</w:t>
            </w:r>
            <w:r w:rsidRPr="0074211E">
              <w:rPr>
                <w:rFonts w:hint="eastAsia"/>
              </w:rPr>
              <w:t>年</w:t>
            </w:r>
            <w:r w:rsidRPr="0074211E">
              <w:t>3</w:t>
            </w:r>
            <w:r w:rsidRPr="0074211E">
              <w:rPr>
                <w:rFonts w:hint="eastAsia"/>
              </w:rPr>
              <w:t>月</w:t>
            </w:r>
            <w:r w:rsidRPr="0074211E">
              <w:t>30</w:t>
            </w:r>
            <w:r w:rsidRPr="0074211E">
              <w:rPr>
                <w:rFonts w:hint="eastAsia"/>
              </w:rPr>
              <w:t>日，日本厚生劳动省修订食品中放射性物质检查的检查计划。主要内容：（</w:t>
            </w:r>
            <w:r w:rsidRPr="0074211E">
              <w:t>1</w:t>
            </w:r>
            <w:r w:rsidRPr="0074211E">
              <w:rPr>
                <w:rFonts w:hint="eastAsia"/>
              </w:rPr>
              <w:t>）根据过去一年放射性的检查结果，对被检查食品进行评估。检出放射性铯超过标准值食品：野生蘑菇、木耳、蕨类植物、竹笋、野猪、熊、鹿、野鸡；检出放射性铯超过标准值</w:t>
            </w:r>
            <w:r w:rsidRPr="0074211E">
              <w:t>1/2</w:t>
            </w:r>
            <w:r w:rsidRPr="0074211E">
              <w:rPr>
                <w:rFonts w:hint="eastAsia"/>
              </w:rPr>
              <w:t>的食品：牛奶、牛肉、陆生和海水产品、干香菇、干紫菜、干鱼贝、干菜、干燥后用作食品的水果等；核事故发生地各直辖市发运的未经检验的物品；（</w:t>
            </w:r>
            <w:r w:rsidRPr="0074211E">
              <w:t>2</w:t>
            </w:r>
            <w:r w:rsidRPr="0074211E">
              <w:rPr>
                <w:rFonts w:hint="eastAsia"/>
              </w:rPr>
              <w:t>）增加了蔬菜、水果；海水产品；牛肉等</w:t>
            </w:r>
            <w:r w:rsidRPr="0074211E">
              <w:t>7</w:t>
            </w:r>
            <w:r w:rsidRPr="0074211E">
              <w:rPr>
                <w:rFonts w:hint="eastAsia"/>
              </w:rPr>
              <w:t>个产品类别的检查计划。该计划自发布之日起实施。</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7</w:t>
            </w:r>
          </w:p>
        </w:tc>
        <w:tc>
          <w:tcPr>
            <w:tcW w:w="12223" w:type="dxa"/>
          </w:tcPr>
          <w:p w:rsidR="00B907F0" w:rsidRPr="0074211E" w:rsidRDefault="00B907F0">
            <w:r w:rsidRPr="0074211E">
              <w:rPr>
                <w:rFonts w:hint="eastAsia"/>
              </w:rPr>
              <w:t>日本暂停荷兰第</w:t>
            </w:r>
            <w:r w:rsidRPr="0074211E">
              <w:t>5</w:t>
            </w:r>
            <w:r w:rsidRPr="0074211E">
              <w:rPr>
                <w:rFonts w:hint="eastAsia"/>
              </w:rPr>
              <w:t>号动物卫生市镇进口活禽和液态蛋制品。为防止高致病性禽流感（</w:t>
            </w:r>
            <w:r w:rsidRPr="0074211E">
              <w:t>HPAI</w:t>
            </w:r>
            <w:r w:rsidRPr="0074211E">
              <w:rPr>
                <w:rFonts w:hint="eastAsia"/>
              </w:rPr>
              <w:t>）流入日本，依据《从荷兰向日本出口禽类日龄鸡和种蛋的动物卫生要求》、《从荷兰向日本出口禽肉等产品的动物卫生要求》以及《饲养动物传染病防控法》第</w:t>
            </w:r>
            <w:r w:rsidRPr="0074211E">
              <w:t>37</w:t>
            </w:r>
            <w:r w:rsidRPr="0074211E">
              <w:rPr>
                <w:rFonts w:hint="eastAsia"/>
              </w:rPr>
              <w:t>条和第</w:t>
            </w:r>
            <w:r w:rsidRPr="0074211E">
              <w:t>44</w:t>
            </w:r>
            <w:r w:rsidRPr="0074211E">
              <w:rPr>
                <w:rFonts w:hint="eastAsia"/>
              </w:rPr>
              <w:t>条的规定，日本农林水产省自</w:t>
            </w:r>
            <w:r w:rsidRPr="0074211E">
              <w:t>2022</w:t>
            </w:r>
            <w:r w:rsidRPr="0074211E">
              <w:rPr>
                <w:rFonts w:hint="eastAsia"/>
              </w:rPr>
              <w:t>年</w:t>
            </w:r>
            <w:r w:rsidRPr="0074211E">
              <w:t>2</w:t>
            </w:r>
            <w:r w:rsidRPr="0074211E">
              <w:rPr>
                <w:rFonts w:hint="eastAsia"/>
              </w:rPr>
              <w:t>月</w:t>
            </w:r>
            <w:r w:rsidRPr="0074211E">
              <w:t>16</w:t>
            </w:r>
            <w:r w:rsidRPr="0074211E">
              <w:rPr>
                <w:rFonts w:hint="eastAsia"/>
              </w:rPr>
              <w:t>日起暂停从荷兰第</w:t>
            </w:r>
            <w:r w:rsidRPr="0074211E">
              <w:t>5</w:t>
            </w:r>
            <w:r w:rsidRPr="0074211E">
              <w:rPr>
                <w:rFonts w:hint="eastAsia"/>
              </w:rPr>
              <w:t>号动物卫生市镇进口活禽和液态蛋制品，包括经第三国转运的产品。</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8</w:t>
            </w:r>
          </w:p>
        </w:tc>
        <w:tc>
          <w:tcPr>
            <w:tcW w:w="12223" w:type="dxa"/>
          </w:tcPr>
          <w:p w:rsidR="00B907F0" w:rsidRPr="0074211E" w:rsidRDefault="00B907F0">
            <w:r w:rsidRPr="0074211E">
              <w:rPr>
                <w:rFonts w:hint="eastAsia"/>
              </w:rPr>
              <w:t>日本暂停从美国肯塔基州进口禽类和蛋制品。为防止高致病性禽流感（</w:t>
            </w:r>
            <w:r w:rsidRPr="0074211E">
              <w:t>HPAI</w:t>
            </w:r>
            <w:r w:rsidRPr="0074211E">
              <w:rPr>
                <w:rFonts w:hint="eastAsia"/>
              </w:rPr>
              <w:t>）流入日本，依据《饲养动物传染病防治法》第</w:t>
            </w:r>
            <w:r w:rsidRPr="0074211E">
              <w:t>37</w:t>
            </w:r>
            <w:r w:rsidRPr="0074211E">
              <w:rPr>
                <w:rFonts w:hint="eastAsia"/>
              </w:rPr>
              <w:t>条和第</w:t>
            </w:r>
            <w:r w:rsidRPr="0074211E">
              <w:t>44</w:t>
            </w:r>
            <w:r w:rsidRPr="0074211E">
              <w:rPr>
                <w:rFonts w:hint="eastAsia"/>
              </w:rPr>
              <w:t>条、《从美国向日本出口日龄鸡和种蛋的动物卫生要求》以及《从美国向日本出口禽肉等产品的动物卫生要求》的规定，日本农林水产省自</w:t>
            </w:r>
            <w:r w:rsidRPr="0074211E">
              <w:t>2022</w:t>
            </w:r>
            <w:r w:rsidRPr="0074211E">
              <w:rPr>
                <w:rFonts w:hint="eastAsia"/>
              </w:rPr>
              <w:t>年</w:t>
            </w:r>
            <w:r w:rsidRPr="0074211E">
              <w:t>2</w:t>
            </w:r>
            <w:r w:rsidRPr="0074211E">
              <w:rPr>
                <w:rFonts w:hint="eastAsia"/>
              </w:rPr>
              <w:t>月</w:t>
            </w:r>
            <w:r w:rsidRPr="0074211E">
              <w:t>16</w:t>
            </w:r>
            <w:r w:rsidRPr="0074211E">
              <w:rPr>
                <w:rFonts w:hint="eastAsia"/>
              </w:rPr>
              <w:t>日起暂停从美国肯塔基州进口活禽、禽肉和蛋制品，包括经第三国转运的产品。</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9</w:t>
            </w:r>
          </w:p>
        </w:tc>
        <w:tc>
          <w:tcPr>
            <w:tcW w:w="12223" w:type="dxa"/>
          </w:tcPr>
          <w:p w:rsidR="00B907F0" w:rsidRDefault="00B907F0">
            <w:r w:rsidRPr="0074211E">
              <w:rPr>
                <w:rFonts w:hint="eastAsia"/>
              </w:rPr>
              <w:t>日本暂停从美国弗吉尼亚州进口活禽以及福基尔县进口禽肉和蛋制品。为防止高致病性禽流感（</w:t>
            </w:r>
            <w:r w:rsidRPr="0074211E">
              <w:t>HPAI</w:t>
            </w:r>
            <w:r w:rsidRPr="0074211E">
              <w:rPr>
                <w:rFonts w:hint="eastAsia"/>
              </w:rPr>
              <w:t>）流入日本，依据《饲养动物传染病防治法》第</w:t>
            </w:r>
            <w:r w:rsidRPr="0074211E">
              <w:t>37</w:t>
            </w:r>
            <w:r w:rsidRPr="0074211E">
              <w:rPr>
                <w:rFonts w:hint="eastAsia"/>
              </w:rPr>
              <w:t>条和第</w:t>
            </w:r>
            <w:r w:rsidRPr="0074211E">
              <w:t>44</w:t>
            </w:r>
            <w:r w:rsidRPr="0074211E">
              <w:rPr>
                <w:rFonts w:hint="eastAsia"/>
              </w:rPr>
              <w:t>条、《从美国向日本出口日龄鸡和种蛋的动物卫生要求》以及《从美国向日本出口禽肉等产品的动物卫生要求》的规定，日本农林水产省自</w:t>
            </w:r>
            <w:r w:rsidRPr="0074211E">
              <w:t>2022</w:t>
            </w:r>
            <w:r w:rsidRPr="0074211E">
              <w:rPr>
                <w:rFonts w:hint="eastAsia"/>
              </w:rPr>
              <w:t>年</w:t>
            </w:r>
            <w:r w:rsidRPr="0074211E">
              <w:t>2</w:t>
            </w:r>
            <w:r w:rsidRPr="0074211E">
              <w:rPr>
                <w:rFonts w:hint="eastAsia"/>
              </w:rPr>
              <w:t>月</w:t>
            </w:r>
            <w:r w:rsidRPr="0074211E">
              <w:t>16</w:t>
            </w:r>
            <w:r w:rsidRPr="0074211E">
              <w:rPr>
                <w:rFonts w:hint="eastAsia"/>
              </w:rPr>
              <w:t>日起暂停从美国弗吉尼亚州进口活禽以及从美国弗吉尼亚州福基尔县进口活禽、禽肉和蛋制品，包括经第三国转运的产品。</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10</w:t>
            </w:r>
          </w:p>
        </w:tc>
        <w:tc>
          <w:tcPr>
            <w:tcW w:w="12223" w:type="dxa"/>
          </w:tcPr>
          <w:p w:rsidR="00B907F0" w:rsidRDefault="00B907F0" w:rsidP="0074211E">
            <w:r>
              <w:rPr>
                <w:rFonts w:hint="eastAsia"/>
              </w:rPr>
              <w:t>日本修改《关于特殊用途食品的标示许可等》。</w:t>
            </w:r>
            <w:r>
              <w:t>4</w:t>
            </w:r>
            <w:r>
              <w:rPr>
                <w:rFonts w:hint="eastAsia"/>
              </w:rPr>
              <w:t>月</w:t>
            </w:r>
            <w:r>
              <w:t>1</w:t>
            </w:r>
            <w:r>
              <w:rPr>
                <w:rFonts w:hint="eastAsia"/>
              </w:rPr>
              <w:t>日，日本消费者厅发布消食表第</w:t>
            </w:r>
            <w:r>
              <w:t>120</w:t>
            </w:r>
            <w:r>
              <w:rPr>
                <w:rFonts w:hint="eastAsia"/>
              </w:rPr>
              <w:t>号公告称，现修改《关于特殊用途食品的标示许可等》内无过敏原食品中婴儿配方乳粉和婴儿配方液体乳部分内容。</w:t>
            </w:r>
          </w:p>
          <w:p w:rsidR="00B907F0" w:rsidRDefault="00B907F0" w:rsidP="0074211E">
            <w:r>
              <w:rPr>
                <w:rFonts w:hint="eastAsia"/>
              </w:rPr>
              <w:t>文中指出，</w:t>
            </w:r>
            <w:r>
              <w:t>2023</w:t>
            </w:r>
            <w:r>
              <w:rPr>
                <w:rFonts w:hint="eastAsia"/>
              </w:rPr>
              <w:t>年</w:t>
            </w:r>
            <w:r>
              <w:t>3</w:t>
            </w:r>
            <w:r>
              <w:rPr>
                <w:rFonts w:hint="eastAsia"/>
              </w:rPr>
              <w:t>月</w:t>
            </w:r>
            <w:r>
              <w:t>31</w:t>
            </w:r>
            <w:r>
              <w:rPr>
                <w:rFonts w:hint="eastAsia"/>
              </w:rPr>
              <w:t>日前，其可以不参照表</w:t>
            </w:r>
            <w:r>
              <w:t>6</w:t>
            </w:r>
            <w:r>
              <w:rPr>
                <w:rFonts w:hint="eastAsia"/>
              </w:rPr>
              <w:t>所示的硒的基准，仅参照根据《关于特殊用途食品的标示许可等》（平成</w:t>
            </w:r>
            <w:r>
              <w:t>30</w:t>
            </w:r>
            <w:r>
              <w:rPr>
                <w:rFonts w:hint="eastAsia"/>
              </w:rPr>
              <w:t>年</w:t>
            </w:r>
            <w:r>
              <w:t>8</w:t>
            </w:r>
            <w:r>
              <w:rPr>
                <w:rFonts w:hint="eastAsia"/>
              </w:rPr>
              <w:t>月</w:t>
            </w:r>
            <w:r>
              <w:t>8</w:t>
            </w:r>
            <w:r>
              <w:rPr>
                <w:rFonts w:hint="eastAsia"/>
              </w:rPr>
              <w:t>日消食表第</w:t>
            </w:r>
            <w:r>
              <w:t>403</w:t>
            </w:r>
            <w:r>
              <w:rPr>
                <w:rFonts w:hint="eastAsia"/>
              </w:rPr>
              <w:t>号）修改的《关于特殊用途食品的标示许可等》（平成</w:t>
            </w:r>
            <w:r>
              <w:t>28</w:t>
            </w:r>
            <w:r>
              <w:rPr>
                <w:rFonts w:hint="eastAsia"/>
              </w:rPr>
              <w:t>年</w:t>
            </w:r>
            <w:r>
              <w:t>3</w:t>
            </w:r>
            <w:r>
              <w:rPr>
                <w:rFonts w:hint="eastAsia"/>
              </w:rPr>
              <w:t>月</w:t>
            </w:r>
            <w:r>
              <w:t>31</w:t>
            </w:r>
            <w:r>
              <w:rPr>
                <w:rFonts w:hint="eastAsia"/>
              </w:rPr>
              <w:t>日消食表第</w:t>
            </w:r>
            <w:r>
              <w:t>221</w:t>
            </w:r>
            <w:r>
              <w:rPr>
                <w:rFonts w:hint="eastAsia"/>
              </w:rPr>
              <w:t>号）中的示例，即将过渡期截止日期由</w:t>
            </w:r>
            <w:r>
              <w:t>2022</w:t>
            </w:r>
            <w:r>
              <w:rPr>
                <w:rFonts w:hint="eastAsia"/>
              </w:rPr>
              <w:t>年</w:t>
            </w:r>
            <w:r>
              <w:t>3</w:t>
            </w:r>
            <w:r>
              <w:rPr>
                <w:rFonts w:hint="eastAsia"/>
              </w:rPr>
              <w:t>月</w:t>
            </w:r>
            <w:r>
              <w:t>31</w:t>
            </w:r>
            <w:r>
              <w:rPr>
                <w:rFonts w:hint="eastAsia"/>
              </w:rPr>
              <w:t>日改为</w:t>
            </w:r>
            <w:r>
              <w:t>2023</w:t>
            </w:r>
            <w:r>
              <w:rPr>
                <w:rFonts w:hint="eastAsia"/>
              </w:rPr>
              <w:t>年</w:t>
            </w:r>
            <w:r>
              <w:t>3</w:t>
            </w:r>
            <w:r>
              <w:rPr>
                <w:rFonts w:hint="eastAsia"/>
              </w:rPr>
              <w:t>月</w:t>
            </w:r>
            <w:r>
              <w:t>31</w:t>
            </w:r>
            <w:r>
              <w:rPr>
                <w:rFonts w:hint="eastAsia"/>
              </w:rPr>
              <w:t>日。</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11</w:t>
            </w:r>
          </w:p>
        </w:tc>
        <w:tc>
          <w:tcPr>
            <w:tcW w:w="12223" w:type="dxa"/>
          </w:tcPr>
          <w:p w:rsidR="00B907F0" w:rsidRDefault="00B907F0">
            <w:r w:rsidRPr="0074211E">
              <w:rPr>
                <w:rFonts w:hint="eastAsia"/>
              </w:rPr>
              <w:t>日本对生物制品最低要求进行部分修订。将对生物制品最低要求中“肺炎球菌</w:t>
            </w:r>
            <w:r w:rsidRPr="0074211E">
              <w:t>13-</w:t>
            </w:r>
            <w:r w:rsidRPr="0074211E">
              <w:rPr>
                <w:rFonts w:hint="eastAsia"/>
              </w:rPr>
              <w:t>价组合疫苗（白喉突变体</w:t>
            </w:r>
            <w:r w:rsidRPr="0074211E">
              <w:t>CRM197</w:t>
            </w:r>
            <w:r w:rsidRPr="0074211E">
              <w:rPr>
                <w:rFonts w:hint="eastAsia"/>
              </w:rPr>
              <w:t>结合物）”白喉病毒规定的部分内容进行修订。</w:t>
            </w:r>
          </w:p>
        </w:tc>
      </w:tr>
      <w:tr w:rsidR="00B907F0" w:rsidTr="008E796A">
        <w:tc>
          <w:tcPr>
            <w:tcW w:w="1384" w:type="dxa"/>
            <w:vMerge w:val="restart"/>
            <w:vAlign w:val="center"/>
          </w:tcPr>
          <w:p w:rsidR="00B907F0" w:rsidRPr="008E796A" w:rsidRDefault="00B907F0" w:rsidP="008E796A">
            <w:pPr>
              <w:jc w:val="center"/>
              <w:rPr>
                <w:b/>
              </w:rPr>
            </w:pPr>
            <w:r w:rsidRPr="008E796A">
              <w:rPr>
                <w:rFonts w:hint="eastAsia"/>
                <w:b/>
              </w:rPr>
              <w:t>美国</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12</w:t>
            </w:r>
          </w:p>
        </w:tc>
        <w:tc>
          <w:tcPr>
            <w:tcW w:w="12223" w:type="dxa"/>
          </w:tcPr>
          <w:p w:rsidR="00B907F0" w:rsidRPr="0074211E" w:rsidRDefault="00B907F0">
            <w:r w:rsidRPr="0074211E">
              <w:rPr>
                <w:rFonts w:hint="eastAsia"/>
              </w:rPr>
              <w:t>美国豁免三氟羧草醚钠盐的残留限量。据美国联邦公报消息，</w:t>
            </w:r>
            <w:r w:rsidRPr="0074211E">
              <w:t>2022</w:t>
            </w:r>
            <w:r w:rsidRPr="0074211E">
              <w:rPr>
                <w:rFonts w:hint="eastAsia"/>
              </w:rPr>
              <w:t>年</w:t>
            </w:r>
            <w:r w:rsidRPr="0074211E">
              <w:t>3</w:t>
            </w:r>
            <w:r w:rsidRPr="0074211E">
              <w:rPr>
                <w:rFonts w:hint="eastAsia"/>
              </w:rPr>
              <w:t>月</w:t>
            </w:r>
            <w:r w:rsidRPr="0074211E">
              <w:t>31</w:t>
            </w:r>
            <w:r w:rsidRPr="0074211E">
              <w:rPr>
                <w:rFonts w:hint="eastAsia"/>
              </w:rPr>
              <w:t>日，美国环保署发布</w:t>
            </w:r>
            <w:r w:rsidRPr="0074211E">
              <w:t>2022-06817</w:t>
            </w:r>
            <w:r w:rsidRPr="0074211E">
              <w:rPr>
                <w:rFonts w:hint="eastAsia"/>
              </w:rPr>
              <w:t>号条例，豁免三氟羧草醚钠盐（</w:t>
            </w:r>
            <w:r w:rsidRPr="0074211E">
              <w:t>Sodium Salt of Acifluorfen</w:t>
            </w:r>
            <w:r w:rsidRPr="0074211E">
              <w:rPr>
                <w:rFonts w:hint="eastAsia"/>
              </w:rPr>
              <w:t>）的残留限量。</w:t>
            </w:r>
            <w:r w:rsidRPr="0074211E">
              <w:t xml:space="preserve"> </w:t>
            </w:r>
            <w:r w:rsidRPr="0074211E">
              <w:rPr>
                <w:rFonts w:hint="eastAsia"/>
              </w:rPr>
              <w:t>据条例，当三氟羧草醚钠盐作为杀虫剂用在甜菜上时，豁免其残留限量。限时公差将于</w:t>
            </w:r>
            <w:r w:rsidRPr="0074211E">
              <w:t>2024</w:t>
            </w:r>
            <w:r w:rsidRPr="0074211E">
              <w:rPr>
                <w:rFonts w:hint="eastAsia"/>
              </w:rPr>
              <w:t>年</w:t>
            </w:r>
            <w:r w:rsidRPr="0074211E">
              <w:t>12</w:t>
            </w:r>
            <w:r w:rsidRPr="0074211E">
              <w:rPr>
                <w:rFonts w:hint="eastAsia"/>
              </w:rPr>
              <w:t>月</w:t>
            </w:r>
            <w:r w:rsidRPr="0074211E">
              <w:t>31</w:t>
            </w:r>
            <w:r w:rsidRPr="0074211E">
              <w:rPr>
                <w:rFonts w:hint="eastAsia"/>
              </w:rPr>
              <w:t>日到期。</w:t>
            </w:r>
            <w:r w:rsidRPr="0074211E">
              <w:t xml:space="preserve"> </w:t>
            </w:r>
            <w:r w:rsidRPr="0074211E">
              <w:rPr>
                <w:rFonts w:hint="eastAsia"/>
              </w:rPr>
              <w:t>此规定自</w:t>
            </w:r>
            <w:r w:rsidRPr="0074211E">
              <w:t>2022</w:t>
            </w:r>
            <w:r w:rsidRPr="0074211E">
              <w:rPr>
                <w:rFonts w:hint="eastAsia"/>
              </w:rPr>
              <w:t>年</w:t>
            </w:r>
            <w:r w:rsidRPr="0074211E">
              <w:t>3</w:t>
            </w:r>
            <w:r w:rsidRPr="0074211E">
              <w:rPr>
                <w:rFonts w:hint="eastAsia"/>
              </w:rPr>
              <w:t>月</w:t>
            </w:r>
            <w:r w:rsidRPr="0074211E">
              <w:t>31</w:t>
            </w:r>
            <w:r w:rsidRPr="0074211E">
              <w:rPr>
                <w:rFonts w:hint="eastAsia"/>
              </w:rPr>
              <w:t>日起生效，反对或听证请求需在</w:t>
            </w:r>
            <w:r w:rsidRPr="0074211E">
              <w:t>2022</w:t>
            </w:r>
            <w:r w:rsidRPr="0074211E">
              <w:rPr>
                <w:rFonts w:hint="eastAsia"/>
              </w:rPr>
              <w:t>年</w:t>
            </w:r>
            <w:r w:rsidRPr="0074211E">
              <w:t>5</w:t>
            </w:r>
            <w:r w:rsidRPr="0074211E">
              <w:rPr>
                <w:rFonts w:hint="eastAsia"/>
              </w:rPr>
              <w:t>月</w:t>
            </w:r>
            <w:r w:rsidRPr="0074211E">
              <w:t>31</w:t>
            </w:r>
            <w:r w:rsidRPr="0074211E">
              <w:rPr>
                <w:rFonts w:hint="eastAsia"/>
              </w:rPr>
              <w:t>日前提交申请。</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13</w:t>
            </w:r>
          </w:p>
        </w:tc>
        <w:tc>
          <w:tcPr>
            <w:tcW w:w="12223" w:type="dxa"/>
          </w:tcPr>
          <w:p w:rsidR="00B907F0" w:rsidRPr="0074211E" w:rsidRDefault="00B907F0">
            <w:r w:rsidRPr="0074211E">
              <w:rPr>
                <w:rFonts w:hint="eastAsia"/>
              </w:rPr>
              <w:t>美国修订氟吡菌酰胺的限量。该法规修订了谷类作物组</w:t>
            </w:r>
            <w:r w:rsidRPr="0074211E">
              <w:t>15</w:t>
            </w:r>
            <w:r w:rsidRPr="0074211E">
              <w:rPr>
                <w:rFonts w:hint="eastAsia"/>
              </w:rPr>
              <w:t>（玉米和大米除外）、油菜籽亚组</w:t>
            </w:r>
            <w:smartTag w:uri="urn:schemas-microsoft-com:office:smarttags" w:element="chmetcnv">
              <w:smartTagPr>
                <w:attr w:name="TCSC" w:val="0"/>
                <w:attr w:name="NumberType" w:val="1"/>
                <w:attr w:name="Negative" w:val="False"/>
                <w:attr w:name="HasSpace" w:val="False"/>
                <w:attr w:name="SourceValue" w:val="20"/>
                <w:attr w:name="UnitName" w:val="a"/>
              </w:smartTagPr>
              <w:r w:rsidRPr="0074211E">
                <w:t>20A</w:t>
              </w:r>
            </w:smartTag>
            <w:r w:rsidRPr="0074211E">
              <w:rPr>
                <w:rFonts w:hint="eastAsia"/>
              </w:rPr>
              <w:t>和多种动物产品内</w:t>
            </w:r>
            <w:r w:rsidRPr="0074211E">
              <w:t>/</w:t>
            </w:r>
            <w:r w:rsidRPr="0074211E">
              <w:rPr>
                <w:rFonts w:hint="eastAsia"/>
              </w:rPr>
              <w:t>表面氟吡菌酰胺的残留限量。</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14</w:t>
            </w:r>
          </w:p>
        </w:tc>
        <w:tc>
          <w:tcPr>
            <w:tcW w:w="12223" w:type="dxa"/>
          </w:tcPr>
          <w:p w:rsidR="00B907F0" w:rsidRPr="0074211E" w:rsidRDefault="00B907F0">
            <w:r w:rsidRPr="0074211E">
              <w:rPr>
                <w:rFonts w:hint="eastAsia"/>
              </w:rPr>
              <w:t>美国修订复合木制品甲醛排放标准。拟定规则</w:t>
            </w:r>
            <w:r w:rsidRPr="0074211E">
              <w:t>-</w:t>
            </w:r>
            <w:r w:rsidRPr="0074211E">
              <w:rPr>
                <w:rFonts w:hint="eastAsia"/>
              </w:rPr>
              <w:t>环境保护署（</w:t>
            </w:r>
            <w:r w:rsidRPr="0074211E">
              <w:t>EPA</w:t>
            </w:r>
            <w:r w:rsidRPr="0074211E">
              <w:rPr>
                <w:rFonts w:hint="eastAsia"/>
              </w:rPr>
              <w:t>）计划依据《有毒物质控制法》（</w:t>
            </w:r>
            <w:r w:rsidRPr="0074211E">
              <w:t>TSCA</w:t>
            </w:r>
            <w:r w:rsidRPr="0074211E">
              <w:rPr>
                <w:rFonts w:hint="eastAsia"/>
              </w:rPr>
              <w:t>）更新环保署复合木制品法规甲醛标准中合并引用几项自愿性公认标准（此类公认标准已由颁布组织进行了更新、废止或撤销）。另外，环保署计划在不安全的情况下允许需要进行现场检验的第三方认证机构（</w:t>
            </w:r>
            <w:r w:rsidRPr="0074211E">
              <w:t>TPC</w:t>
            </w:r>
            <w:r w:rsidRPr="0074211E">
              <w:rPr>
                <w:rFonts w:hint="eastAsia"/>
              </w:rPr>
              <w:t>）进行远程检验，比如新冠疫情或者其他不安全情况，例如自然灾害、疫情</w:t>
            </w:r>
            <w:r>
              <w:rPr>
                <w:rFonts w:hint="eastAsia"/>
              </w:rPr>
              <w:t>暴</w:t>
            </w:r>
            <w:r w:rsidRPr="0074211E">
              <w:rPr>
                <w:rFonts w:hint="eastAsia"/>
              </w:rPr>
              <w:t>发、政治动乱和传染病。最后，环保署计划进行相关技术更正和合规变更，包括更新定义部分中的标准、澄清同生产相关的表述、以及为第三方认证流程提供更大的灵活性。</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15</w:t>
            </w:r>
          </w:p>
        </w:tc>
        <w:tc>
          <w:tcPr>
            <w:tcW w:w="12223" w:type="dxa"/>
          </w:tcPr>
          <w:p w:rsidR="00B907F0" w:rsidRPr="0074211E" w:rsidRDefault="00B907F0">
            <w:r w:rsidRPr="0074211E">
              <w:rPr>
                <w:rFonts w:hint="eastAsia"/>
              </w:rPr>
              <w:t>美国修订重型发动机和车辆标准。环境保护署（</w:t>
            </w:r>
            <w:r w:rsidRPr="0074211E">
              <w:t>EPA</w:t>
            </w:r>
            <w:r w:rsidRPr="0074211E">
              <w:rPr>
                <w:rFonts w:hint="eastAsia"/>
              </w:rPr>
              <w:t>）提出一项规则，旨在减少公路重型车辆和发动机的空气污染物排放，包括臭氧、颗粒物以及温室气体。该提案计划修改重型排放管理计划（包括标准、测试程序、使用寿命、保修和其他要求），旨在进一步减少重型发动机长期运行期间在各种工作条件下对空气质量的影响。重型车辆和发动机是臭氧和颗粒物的重要来源，也是导致此类物质对公众健康造成威胁的重要因素，包括早逝、呼吸系统疾病（包括儿童哮喘）、心血管问题以及其他不良健康影响。该提案旨在减少氮氧化物和其他污染物的排放。另外，该提案计划对现有的重型温室气体排放第二阶段计划进行针对性的更新，即考虑到准备期、成本和其他因素（包括某些重型车辆行业部门向零排放技术的市场转型），在</w:t>
            </w:r>
            <w:r w:rsidRPr="0074211E">
              <w:t>2027</w:t>
            </w:r>
            <w:r w:rsidRPr="0074211E">
              <w:rPr>
                <w:rFonts w:hint="eastAsia"/>
              </w:rPr>
              <w:t>年时间框架内进一步降低温室气体排放的要求是可行的。我们同时提议对相关法规进行有限的修订，以便在其他部门落实我们的空气污染物排放标准（例如轻型车辆、船用柴油发动机、机车、各类非道路发动机、车辆和设备）。</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16</w:t>
            </w:r>
          </w:p>
        </w:tc>
        <w:tc>
          <w:tcPr>
            <w:tcW w:w="12223" w:type="dxa"/>
          </w:tcPr>
          <w:p w:rsidR="00B907F0" w:rsidRPr="008E796A" w:rsidRDefault="00B907F0">
            <w:pPr>
              <w:rPr>
                <w:rFonts w:ascii="宋体" w:cs="宋体"/>
                <w:sz w:val="22"/>
                <w:szCs w:val="22"/>
              </w:rPr>
            </w:pPr>
            <w:r w:rsidRPr="008E796A">
              <w:rPr>
                <w:rFonts w:hint="eastAsia"/>
                <w:color w:val="000000"/>
                <w:sz w:val="22"/>
                <w:szCs w:val="22"/>
              </w:rPr>
              <w:t>美国对自动商用制冰机节能标准进行评议。美国能源部（“</w:t>
            </w:r>
            <w:r w:rsidRPr="008E796A">
              <w:rPr>
                <w:color w:val="000000"/>
                <w:sz w:val="22"/>
                <w:szCs w:val="22"/>
              </w:rPr>
              <w:t>DOE</w:t>
            </w:r>
            <w:r w:rsidRPr="008E796A">
              <w:rPr>
                <w:rFonts w:hint="eastAsia"/>
                <w:color w:val="000000"/>
                <w:sz w:val="22"/>
                <w:szCs w:val="22"/>
              </w:rPr>
              <w:t>”）宣布提供其为评估修订后自动商用制冰机节能标准而进行的必要性初步分析，详情见用于此规则制定的能源部初步技术支持文件（“</w:t>
            </w:r>
            <w:r w:rsidRPr="008E796A">
              <w:rPr>
                <w:color w:val="000000"/>
                <w:sz w:val="22"/>
                <w:szCs w:val="22"/>
              </w:rPr>
              <w:t>TSD</w:t>
            </w:r>
            <w:r w:rsidRPr="008E796A">
              <w:rPr>
                <w:rFonts w:hint="eastAsia"/>
                <w:color w:val="000000"/>
                <w:sz w:val="22"/>
                <w:szCs w:val="22"/>
              </w:rPr>
              <w:t>”）。能源部将通过网络研讨会方式召开公共会议，就其初步分析进行讨论并接收评论。本次会议涉及用于评估此类设备备选标准的分析框架、模型和工具，能源部的初步分析结果，通过此类分析推导的可能的节能标准水平（如果能源部认为需要拟议修订）以及其他相关问题。此外，能源部还鼓励针对这些主题作出书面评论。</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17</w:t>
            </w:r>
          </w:p>
        </w:tc>
        <w:tc>
          <w:tcPr>
            <w:tcW w:w="12223" w:type="dxa"/>
          </w:tcPr>
          <w:p w:rsidR="00B907F0" w:rsidRPr="0074211E" w:rsidRDefault="00B907F0">
            <w:r w:rsidRPr="0074211E">
              <w:rPr>
                <w:rFonts w:hint="eastAsia"/>
              </w:rPr>
              <w:t>美国环保署将</w:t>
            </w:r>
            <w:r w:rsidRPr="0074211E">
              <w:t>PFAS</w:t>
            </w:r>
            <w:r w:rsidRPr="0074211E">
              <w:rPr>
                <w:rFonts w:hint="eastAsia"/>
              </w:rPr>
              <w:t>移出安全化学成分清单。</w:t>
            </w:r>
            <w:r w:rsidRPr="0074211E">
              <w:t>2022</w:t>
            </w:r>
            <w:r w:rsidRPr="0074211E">
              <w:rPr>
                <w:rFonts w:hint="eastAsia"/>
              </w:rPr>
              <w:t>年</w:t>
            </w:r>
            <w:r w:rsidRPr="0074211E">
              <w:t>3</w:t>
            </w:r>
            <w:r w:rsidRPr="0074211E">
              <w:rPr>
                <w:rFonts w:hint="eastAsia"/>
              </w:rPr>
              <w:t>月</w:t>
            </w:r>
            <w:r w:rsidRPr="0074211E">
              <w:t>16</w:t>
            </w:r>
            <w:r w:rsidRPr="0074211E">
              <w:rPr>
                <w:rFonts w:hint="eastAsia"/>
              </w:rPr>
              <w:t>日，美国环境保护署（</w:t>
            </w:r>
            <w:r w:rsidRPr="0074211E">
              <w:t>EPA</w:t>
            </w:r>
            <w:r w:rsidRPr="0074211E">
              <w:rPr>
                <w:rFonts w:hint="eastAsia"/>
              </w:rPr>
              <w:t>）将两种全氟和多氟烷基物质（</w:t>
            </w:r>
            <w:r w:rsidRPr="0074211E">
              <w:t>PFAS</w:t>
            </w:r>
            <w:r w:rsidRPr="0074211E">
              <w:rPr>
                <w:rFonts w:hint="eastAsia"/>
              </w:rPr>
              <w:t>）移出安全化学成分清单。</w:t>
            </w:r>
            <w:r w:rsidRPr="0074211E">
              <w:t xml:space="preserve"> </w:t>
            </w:r>
            <w:r w:rsidRPr="0074211E">
              <w:rPr>
                <w:rFonts w:hint="eastAsia"/>
              </w:rPr>
              <w:t>此次移除的两种</w:t>
            </w:r>
            <w:r w:rsidRPr="0074211E">
              <w:t>PFAS</w:t>
            </w:r>
            <w:r w:rsidRPr="0074211E">
              <w:rPr>
                <w:rFonts w:hint="eastAsia"/>
              </w:rPr>
              <w:t>物质：两性氟化表面活性剂（</w:t>
            </w:r>
            <w:r w:rsidRPr="0074211E">
              <w:t>CAS</w:t>
            </w:r>
            <w:r w:rsidRPr="0074211E">
              <w:rPr>
                <w:rFonts w:hint="eastAsia"/>
              </w:rPr>
              <w:t>号</w:t>
            </w:r>
            <w:r w:rsidRPr="0074211E">
              <w:t>34455-29-3</w:t>
            </w:r>
            <w:r w:rsidRPr="0074211E">
              <w:rPr>
                <w:rFonts w:hint="eastAsia"/>
              </w:rPr>
              <w:t>）和另一种太长而无法在此命名的物质（</w:t>
            </w:r>
            <w:r w:rsidRPr="0074211E">
              <w:t>CAS</w:t>
            </w:r>
            <w:r w:rsidRPr="0074211E">
              <w:rPr>
                <w:rFonts w:hint="eastAsia"/>
              </w:rPr>
              <w:t>号</w:t>
            </w:r>
            <w:r w:rsidRPr="0074211E">
              <w:t>452080-67-0</w:t>
            </w:r>
            <w:r w:rsidRPr="0074211E">
              <w:rPr>
                <w:rFonts w:hint="eastAsia"/>
              </w:rPr>
              <w:t>）是安全化学成分清单上的最后两种氟化化合物。</w:t>
            </w:r>
            <w:r w:rsidRPr="0074211E">
              <w:t>EPA</w:t>
            </w:r>
            <w:r w:rsidRPr="0074211E">
              <w:rPr>
                <w:rFonts w:hint="eastAsia"/>
              </w:rPr>
              <w:t>的更安全的选择计划通过认证使用已知危险性最低的化学品，鼓励采用更安全的消费品。认证产品还必须符合其他标准，如不含双酚</w:t>
            </w:r>
            <w:r w:rsidRPr="0074211E">
              <w:t>A</w:t>
            </w:r>
            <w:r w:rsidRPr="0074211E">
              <w:rPr>
                <w:rFonts w:hint="eastAsia"/>
              </w:rPr>
              <w:t>、邻苯二甲酸盐和重金属的内包装。</w:t>
            </w:r>
            <w:r w:rsidRPr="0074211E">
              <w:t xml:space="preserve"> EPA</w:t>
            </w:r>
            <w:r w:rsidRPr="0074211E">
              <w:rPr>
                <w:rFonts w:hint="eastAsia"/>
              </w:rPr>
              <w:t>还宣布，已向制造、加工、进口、分销或处置氟化聚烯烃容器的所有利益相关者发出公开信，要求他们遵守有毒物质控制法（</w:t>
            </w:r>
            <w:r w:rsidRPr="0074211E">
              <w:t>TSCA</w:t>
            </w:r>
            <w:r w:rsidRPr="0074211E">
              <w:rPr>
                <w:rFonts w:hint="eastAsia"/>
              </w:rPr>
              <w:t>）的现有要求，以确保不会发生非故意的</w:t>
            </w:r>
            <w:r w:rsidRPr="0074211E">
              <w:t>PFAS</w:t>
            </w:r>
            <w:r w:rsidRPr="0074211E">
              <w:rPr>
                <w:rFonts w:hint="eastAsia"/>
              </w:rPr>
              <w:t>污染。</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18</w:t>
            </w:r>
          </w:p>
        </w:tc>
        <w:tc>
          <w:tcPr>
            <w:tcW w:w="12223" w:type="dxa"/>
            <w:vAlign w:val="center"/>
          </w:tcPr>
          <w:p w:rsidR="00B907F0" w:rsidRPr="008E796A" w:rsidRDefault="00B907F0">
            <w:pPr>
              <w:rPr>
                <w:rFonts w:ascii="宋体" w:cs="宋体"/>
                <w:sz w:val="22"/>
                <w:szCs w:val="22"/>
              </w:rPr>
            </w:pPr>
            <w:r w:rsidRPr="008E796A">
              <w:rPr>
                <w:rFonts w:hint="eastAsia"/>
                <w:color w:val="000000"/>
                <w:sz w:val="22"/>
                <w:szCs w:val="22"/>
              </w:rPr>
              <w:t>美国</w:t>
            </w:r>
            <w:r w:rsidRPr="008E796A">
              <w:rPr>
                <w:color w:val="000000"/>
                <w:sz w:val="22"/>
                <w:szCs w:val="22"/>
              </w:rPr>
              <w:t>FDA</w:t>
            </w:r>
            <w:r w:rsidRPr="008E796A">
              <w:rPr>
                <w:rFonts w:hint="eastAsia"/>
                <w:color w:val="000000"/>
                <w:sz w:val="22"/>
                <w:szCs w:val="22"/>
              </w:rPr>
              <w:t>发布行业指南：通过隔离来重整鱼类和鱼制品。</w:t>
            </w:r>
            <w:r w:rsidRPr="008E796A">
              <w:rPr>
                <w:color w:val="000000"/>
                <w:sz w:val="22"/>
                <w:szCs w:val="22"/>
              </w:rPr>
              <w:t>2022</w:t>
            </w:r>
            <w:r w:rsidRPr="008E796A">
              <w:rPr>
                <w:rFonts w:hint="eastAsia"/>
                <w:color w:val="000000"/>
                <w:sz w:val="22"/>
                <w:szCs w:val="22"/>
              </w:rPr>
              <w:t>年</w:t>
            </w:r>
            <w:r w:rsidRPr="008E796A">
              <w:rPr>
                <w:color w:val="000000"/>
                <w:sz w:val="22"/>
                <w:szCs w:val="22"/>
              </w:rPr>
              <w:t>4</w:t>
            </w:r>
            <w:r w:rsidRPr="008E796A">
              <w:rPr>
                <w:rFonts w:hint="eastAsia"/>
                <w:color w:val="000000"/>
                <w:sz w:val="22"/>
                <w:szCs w:val="22"/>
              </w:rPr>
              <w:t>月</w:t>
            </w:r>
            <w:r w:rsidRPr="008E796A">
              <w:rPr>
                <w:color w:val="000000"/>
                <w:sz w:val="22"/>
                <w:szCs w:val="22"/>
              </w:rPr>
              <w:t>13</w:t>
            </w:r>
            <w:r w:rsidRPr="008E796A">
              <w:rPr>
                <w:rFonts w:hint="eastAsia"/>
                <w:color w:val="000000"/>
                <w:sz w:val="22"/>
                <w:szCs w:val="22"/>
              </w:rPr>
              <w:t>日，美国食品和药物管理局（</w:t>
            </w:r>
            <w:r w:rsidRPr="008E796A">
              <w:rPr>
                <w:color w:val="000000"/>
                <w:sz w:val="22"/>
                <w:szCs w:val="22"/>
              </w:rPr>
              <w:t>FDA</w:t>
            </w:r>
            <w:r w:rsidRPr="008E796A">
              <w:rPr>
                <w:rFonts w:hint="eastAsia"/>
                <w:color w:val="000000"/>
                <w:sz w:val="22"/>
                <w:szCs w:val="22"/>
              </w:rPr>
              <w:t>）发布通过隔离来重整鱼类和渔业产品的行业指南。</w:t>
            </w:r>
            <w:r w:rsidRPr="008E796A">
              <w:rPr>
                <w:color w:val="000000"/>
                <w:sz w:val="22"/>
                <w:szCs w:val="22"/>
              </w:rPr>
              <w:t xml:space="preserve"> </w:t>
            </w:r>
            <w:r w:rsidRPr="008E796A">
              <w:rPr>
                <w:rFonts w:hint="eastAsia"/>
                <w:color w:val="000000"/>
                <w:sz w:val="22"/>
                <w:szCs w:val="22"/>
              </w:rPr>
              <w:t>最终指南包括</w:t>
            </w:r>
            <w:r w:rsidRPr="008E796A">
              <w:rPr>
                <w:color w:val="000000"/>
                <w:sz w:val="22"/>
                <w:szCs w:val="22"/>
              </w:rPr>
              <w:t>:</w:t>
            </w:r>
            <w:r w:rsidRPr="008E796A">
              <w:rPr>
                <w:rFonts w:hint="eastAsia"/>
                <w:color w:val="000000"/>
                <w:sz w:val="22"/>
                <w:szCs w:val="22"/>
              </w:rPr>
              <w:t>阐明了鱼类和渔业产品的所有者或其代表可以采取的步骤，以将非违规产品与掺杂病原体、非法兽药、鲭毒素</w:t>
            </w:r>
            <w:r w:rsidRPr="008E796A">
              <w:rPr>
                <w:color w:val="000000"/>
                <w:sz w:val="22"/>
                <w:szCs w:val="22"/>
              </w:rPr>
              <w:t>(</w:t>
            </w:r>
            <w:r w:rsidRPr="008E796A">
              <w:rPr>
                <w:rFonts w:hint="eastAsia"/>
                <w:color w:val="000000"/>
                <w:sz w:val="22"/>
                <w:szCs w:val="22"/>
              </w:rPr>
              <w:t>组胺</w:t>
            </w:r>
            <w:r w:rsidRPr="008E796A">
              <w:rPr>
                <w:color w:val="000000"/>
                <w:sz w:val="22"/>
                <w:szCs w:val="22"/>
              </w:rPr>
              <w:t>)</w:t>
            </w:r>
            <w:r w:rsidRPr="008E796A">
              <w:rPr>
                <w:rFonts w:hint="eastAsia"/>
                <w:color w:val="000000"/>
                <w:sz w:val="22"/>
                <w:szCs w:val="22"/>
              </w:rPr>
              <w:t>或分解物的产品隔离，从而证明符合《联邦食品、药品和化妆品法案》；建议行业通过隔离提案进行重整时时应包含的信息；就</w:t>
            </w:r>
            <w:r w:rsidRPr="008E796A">
              <w:rPr>
                <w:color w:val="000000"/>
                <w:sz w:val="22"/>
                <w:szCs w:val="22"/>
              </w:rPr>
              <w:t>FDA</w:t>
            </w:r>
            <w:r w:rsidRPr="008E796A">
              <w:rPr>
                <w:rFonts w:hint="eastAsia"/>
                <w:color w:val="000000"/>
                <w:sz w:val="22"/>
                <w:szCs w:val="22"/>
              </w:rPr>
              <w:t>如何评估这些提案，为行业和利益相关者提供统一的指导和更大的透明度。</w:t>
            </w:r>
            <w:r w:rsidRPr="008E796A">
              <w:rPr>
                <w:color w:val="000000"/>
                <w:sz w:val="22"/>
                <w:szCs w:val="22"/>
              </w:rPr>
              <w:t xml:space="preserve"> </w:t>
            </w:r>
            <w:r w:rsidRPr="008E796A">
              <w:rPr>
                <w:rFonts w:hint="eastAsia"/>
                <w:color w:val="000000"/>
                <w:sz w:val="22"/>
                <w:szCs w:val="22"/>
              </w:rPr>
              <w:t>最终指南不适用于通过隔离以外的方式进行重整的情况，例如通过烹饪或转化为动物饲料。该指南最终确定了该机构</w:t>
            </w:r>
            <w:r w:rsidRPr="008E796A">
              <w:rPr>
                <w:color w:val="000000"/>
                <w:sz w:val="22"/>
                <w:szCs w:val="22"/>
              </w:rPr>
              <w:t>2019</w:t>
            </w:r>
            <w:r w:rsidRPr="008E796A">
              <w:rPr>
                <w:rFonts w:hint="eastAsia"/>
                <w:color w:val="000000"/>
                <w:sz w:val="22"/>
                <w:szCs w:val="22"/>
              </w:rPr>
              <w:t>年</w:t>
            </w:r>
            <w:r w:rsidRPr="008E796A">
              <w:rPr>
                <w:color w:val="000000"/>
                <w:sz w:val="22"/>
                <w:szCs w:val="22"/>
              </w:rPr>
              <w:t>9</w:t>
            </w:r>
            <w:r w:rsidRPr="008E796A">
              <w:rPr>
                <w:rFonts w:hint="eastAsia"/>
                <w:color w:val="000000"/>
                <w:sz w:val="22"/>
                <w:szCs w:val="22"/>
              </w:rPr>
              <w:t>月发布的指南草案。</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19</w:t>
            </w:r>
          </w:p>
        </w:tc>
        <w:tc>
          <w:tcPr>
            <w:tcW w:w="12223" w:type="dxa"/>
          </w:tcPr>
          <w:p w:rsidR="00B907F0" w:rsidRPr="0074211E" w:rsidRDefault="00B907F0">
            <w:r w:rsidRPr="0074211E">
              <w:rPr>
                <w:rFonts w:hint="eastAsia"/>
              </w:rPr>
              <w:t>美国</w:t>
            </w:r>
            <w:r w:rsidRPr="0074211E">
              <w:t>FDA</w:t>
            </w:r>
            <w:r w:rsidRPr="0074211E">
              <w:rPr>
                <w:rFonts w:hint="eastAsia"/>
              </w:rPr>
              <w:t>拟批准反式</w:t>
            </w:r>
            <w:r w:rsidRPr="0074211E">
              <w:t>-2-</w:t>
            </w:r>
            <w:r w:rsidRPr="0074211E">
              <w:rPr>
                <w:rFonts w:hint="eastAsia"/>
              </w:rPr>
              <w:t>己烯醛作为食品防腐剂用于家禽和猪。据美国联邦公报消息，</w:t>
            </w:r>
            <w:r w:rsidRPr="0074211E">
              <w:t>2022</w:t>
            </w:r>
            <w:r w:rsidRPr="0074211E">
              <w:rPr>
                <w:rFonts w:hint="eastAsia"/>
              </w:rPr>
              <w:t>年</w:t>
            </w:r>
            <w:r w:rsidRPr="0074211E">
              <w:t>4</w:t>
            </w:r>
            <w:r w:rsidRPr="0074211E">
              <w:rPr>
                <w:rFonts w:hint="eastAsia"/>
              </w:rPr>
              <w:t>月</w:t>
            </w:r>
            <w:r w:rsidRPr="0074211E">
              <w:t>11</w:t>
            </w:r>
            <w:r w:rsidRPr="0074211E">
              <w:rPr>
                <w:rFonts w:hint="eastAsia"/>
              </w:rPr>
              <w:t>日，美国食品药品管理局（</w:t>
            </w:r>
            <w:r w:rsidRPr="0074211E">
              <w:t>FDA</w:t>
            </w:r>
            <w:r w:rsidRPr="0074211E">
              <w:rPr>
                <w:rFonts w:hint="eastAsia"/>
              </w:rPr>
              <w:t>）发布</w:t>
            </w:r>
            <w:r w:rsidRPr="0074211E">
              <w:t>2022-07683</w:t>
            </w:r>
            <w:r w:rsidRPr="0074211E">
              <w:rPr>
                <w:rFonts w:hint="eastAsia"/>
              </w:rPr>
              <w:t>号条例，修订食品添加剂法规，拟批准反式</w:t>
            </w:r>
            <w:r w:rsidRPr="0074211E">
              <w:t>-2-</w:t>
            </w:r>
            <w:r w:rsidRPr="0074211E">
              <w:rPr>
                <w:rFonts w:hint="eastAsia"/>
              </w:rPr>
              <w:t>己烯醛（</w:t>
            </w:r>
            <w:r w:rsidRPr="0074211E">
              <w:t>trans-2-hexenal</w:t>
            </w:r>
            <w:r w:rsidRPr="0074211E">
              <w:rPr>
                <w:rFonts w:hint="eastAsia"/>
              </w:rPr>
              <w:t>）作为食品防腐剂用于家禽和猪。</w:t>
            </w:r>
          </w:p>
        </w:tc>
      </w:tr>
      <w:tr w:rsidR="00B907F0" w:rsidTr="008E796A">
        <w:tc>
          <w:tcPr>
            <w:tcW w:w="1384" w:type="dxa"/>
            <w:vAlign w:val="center"/>
          </w:tcPr>
          <w:p w:rsidR="00B907F0" w:rsidRPr="008E796A" w:rsidRDefault="00B907F0" w:rsidP="008E796A">
            <w:pPr>
              <w:jc w:val="center"/>
              <w:rPr>
                <w:b/>
              </w:rPr>
            </w:pPr>
            <w:r w:rsidRPr="008E796A">
              <w:rPr>
                <w:rFonts w:hint="eastAsia"/>
                <w:b/>
              </w:rPr>
              <w:t>挪威</w:t>
            </w:r>
          </w:p>
          <w:p w:rsidR="00B907F0" w:rsidRDefault="00B907F0" w:rsidP="008E796A">
            <w:pPr>
              <w:jc w:val="center"/>
            </w:pP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20</w:t>
            </w:r>
          </w:p>
        </w:tc>
        <w:tc>
          <w:tcPr>
            <w:tcW w:w="12223" w:type="dxa"/>
          </w:tcPr>
          <w:p w:rsidR="00B907F0" w:rsidRDefault="00B907F0">
            <w:r w:rsidRPr="0074211E">
              <w:rPr>
                <w:rFonts w:hint="eastAsia"/>
              </w:rPr>
              <w:t>挪威修订食品中营养强化剂使用规定。挪威卫生和保健服务部通过挪威官方公报发布</w:t>
            </w:r>
            <w:r w:rsidRPr="0074211E">
              <w:t>FOR-2021-09-01-2648</w:t>
            </w:r>
            <w:r w:rsidRPr="0074211E">
              <w:rPr>
                <w:rFonts w:hint="eastAsia"/>
              </w:rPr>
              <w:t>号公告，修订可于食品中添加的维生素、矿物质及其他物质的相关使用规定，就其原于</w:t>
            </w:r>
            <w:r w:rsidRPr="0074211E">
              <w:t>2010</w:t>
            </w:r>
            <w:r w:rsidRPr="0074211E">
              <w:rPr>
                <w:rFonts w:hint="eastAsia"/>
              </w:rPr>
              <w:t>年发布的</w:t>
            </w:r>
            <w:r w:rsidRPr="0074211E">
              <w:t>247</w:t>
            </w:r>
            <w:r w:rsidRPr="0074211E">
              <w:rPr>
                <w:rFonts w:hint="eastAsia"/>
              </w:rPr>
              <w:t>号公告附录</w:t>
            </w:r>
            <w:r w:rsidRPr="0074211E">
              <w:t>1</w:t>
            </w:r>
            <w:r w:rsidRPr="0074211E">
              <w:rPr>
                <w:rFonts w:hint="eastAsia"/>
              </w:rPr>
              <w:t>中部分食品中可添加的维生素及矿物质使用范围及使用限量进行修订，同时对附录</w:t>
            </w:r>
            <w:r w:rsidRPr="0074211E">
              <w:t>3</w:t>
            </w:r>
            <w:r w:rsidRPr="0074211E">
              <w:rPr>
                <w:rFonts w:hint="eastAsia"/>
              </w:rPr>
              <w:t>中食品中可添加的其他物质清单进行更新，并自</w:t>
            </w:r>
            <w:r w:rsidRPr="0074211E">
              <w:t>2021</w:t>
            </w:r>
            <w:r w:rsidRPr="0074211E">
              <w:rPr>
                <w:rFonts w:hint="eastAsia"/>
              </w:rPr>
              <w:t>年</w:t>
            </w:r>
            <w:r w:rsidRPr="0074211E">
              <w:t>9</w:t>
            </w:r>
            <w:r w:rsidRPr="0074211E">
              <w:rPr>
                <w:rFonts w:hint="eastAsia"/>
              </w:rPr>
              <w:t>月</w:t>
            </w:r>
            <w:r w:rsidRPr="0074211E">
              <w:t>1</w:t>
            </w:r>
            <w:r w:rsidRPr="0074211E">
              <w:rPr>
                <w:rFonts w:hint="eastAsia"/>
              </w:rPr>
              <w:t>日起生效实施。部分修订内容如下表所示：</w:t>
            </w:r>
          </w:p>
        </w:tc>
      </w:tr>
      <w:tr w:rsidR="00B907F0" w:rsidTr="008E796A">
        <w:tc>
          <w:tcPr>
            <w:tcW w:w="1384" w:type="dxa"/>
            <w:vMerge w:val="restart"/>
            <w:vAlign w:val="center"/>
          </w:tcPr>
          <w:p w:rsidR="00B907F0" w:rsidRDefault="00B907F0" w:rsidP="008E796A">
            <w:pPr>
              <w:jc w:val="center"/>
            </w:pPr>
            <w:r w:rsidRPr="008E796A">
              <w:rPr>
                <w:rFonts w:hint="eastAsia"/>
                <w:b/>
              </w:rPr>
              <w:t>欧盟</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21</w:t>
            </w:r>
          </w:p>
        </w:tc>
        <w:tc>
          <w:tcPr>
            <w:tcW w:w="12223" w:type="dxa"/>
          </w:tcPr>
          <w:p w:rsidR="00B907F0" w:rsidRPr="004C323D" w:rsidRDefault="00B907F0">
            <w:r w:rsidRPr="004C323D">
              <w:rPr>
                <w:rFonts w:hint="eastAsia"/>
              </w:rPr>
              <w:t>欧盟发布</w:t>
            </w:r>
            <w:r w:rsidRPr="004C323D">
              <w:t>2019-2020</w:t>
            </w:r>
            <w:r w:rsidRPr="004C323D">
              <w:rPr>
                <w:rFonts w:hint="eastAsia"/>
              </w:rPr>
              <w:t>年人畜共患病和指示菌抗菌素耐药性总结报告。</w:t>
            </w:r>
            <w:r w:rsidRPr="004C323D">
              <w:t>2022</w:t>
            </w:r>
            <w:r w:rsidRPr="004C323D">
              <w:rPr>
                <w:rFonts w:hint="eastAsia"/>
              </w:rPr>
              <w:t>年</w:t>
            </w:r>
            <w:r w:rsidRPr="004C323D">
              <w:t>3</w:t>
            </w:r>
            <w:r w:rsidRPr="004C323D">
              <w:rPr>
                <w:rFonts w:hint="eastAsia"/>
              </w:rPr>
              <w:t>月</w:t>
            </w:r>
            <w:r w:rsidRPr="004C323D">
              <w:t>29</w:t>
            </w:r>
            <w:r w:rsidRPr="004C323D">
              <w:rPr>
                <w:rFonts w:hint="eastAsia"/>
              </w:rPr>
              <w:t>日，欧盟发布</w:t>
            </w:r>
            <w:r w:rsidRPr="004C323D">
              <w:t>2019-2020</w:t>
            </w:r>
            <w:r w:rsidRPr="004C323D">
              <w:rPr>
                <w:rFonts w:hint="eastAsia"/>
              </w:rPr>
              <w:t>年期间来自人类、动物和食物的人畜共患病和指示菌的抗菌素耐药性总结报告。主要内容如下：（</w:t>
            </w:r>
            <w:r w:rsidRPr="004C323D">
              <w:t>1</w:t>
            </w:r>
            <w:r w:rsidRPr="004C323D">
              <w:rPr>
                <w:rFonts w:hint="eastAsia"/>
              </w:rPr>
              <w:t>）报告的结果和趋势与前几年的一致：（</w:t>
            </w:r>
            <w:r w:rsidRPr="004C323D">
              <w:t>2</w:t>
            </w:r>
            <w:r w:rsidRPr="004C323D">
              <w:rPr>
                <w:rFonts w:hint="eastAsia"/>
              </w:rPr>
              <w:t>）弯曲杆菌和某些沙门氏菌菌株的抗菌素耐药性仍然很高；（</w:t>
            </w:r>
            <w:r w:rsidRPr="004C323D">
              <w:t>3</w:t>
            </w:r>
            <w:r w:rsidRPr="004C323D">
              <w:rPr>
                <w:rFonts w:hint="eastAsia"/>
              </w:rPr>
              <w:t>）弯曲杆菌病是</w:t>
            </w:r>
            <w:r w:rsidRPr="004C323D">
              <w:t>2020</w:t>
            </w:r>
            <w:r w:rsidRPr="004C323D">
              <w:rPr>
                <w:rFonts w:hint="eastAsia"/>
              </w:rPr>
              <w:t>年欧盟报告最多的人畜共患病，也是最常报告的食源性疾病原因；（</w:t>
            </w:r>
            <w:r w:rsidRPr="004C323D">
              <w:t>4</w:t>
            </w:r>
            <w:r w:rsidRPr="004C323D">
              <w:rPr>
                <w:rFonts w:hint="eastAsia"/>
              </w:rPr>
              <w:t>）人类和家禽中的弯曲杆菌对环丙沙星（一种人类常用的抗菌剂）继续表现出非常高的耐药性；（</w:t>
            </w:r>
            <w:r w:rsidRPr="004C323D">
              <w:t>5</w:t>
            </w:r>
            <w:r w:rsidRPr="004C323D">
              <w:rPr>
                <w:rFonts w:hint="eastAsia"/>
              </w:rPr>
              <w:t>）沙门氏菌、弯曲杆菌和大肠杆菌对极为重要的抗菌剂的综合耐药性（定义为对两种不同的抗菌剂的耐药性）较低；（</w:t>
            </w:r>
            <w:r w:rsidRPr="004C323D">
              <w:t>6</w:t>
            </w:r>
            <w:r w:rsidRPr="004C323D">
              <w:rPr>
                <w:rFonts w:hint="eastAsia"/>
              </w:rPr>
              <w:t>）尽管整个欧盟存在个体差异，但关键结果指标显示，在几个成员国减少食用动物的抗菌素耐药性方面取得了重大进展等。</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22</w:t>
            </w:r>
          </w:p>
        </w:tc>
        <w:tc>
          <w:tcPr>
            <w:tcW w:w="12223" w:type="dxa"/>
          </w:tcPr>
          <w:p w:rsidR="00B907F0" w:rsidRDefault="00B907F0" w:rsidP="004C323D">
            <w:r>
              <w:rPr>
                <w:rFonts w:hint="eastAsia"/>
              </w:rPr>
              <w:t>欧盟更新食品接触用再生塑料法规。</w:t>
            </w:r>
            <w:r>
              <w:t>2022</w:t>
            </w:r>
            <w:r>
              <w:rPr>
                <w:rFonts w:hint="eastAsia"/>
              </w:rPr>
              <w:t>年</w:t>
            </w:r>
            <w:r>
              <w:t>3</w:t>
            </w:r>
            <w:r>
              <w:rPr>
                <w:rFonts w:hint="eastAsia"/>
              </w:rPr>
              <w:t>月</w:t>
            </w:r>
            <w:r>
              <w:t>24</w:t>
            </w:r>
            <w:r>
              <w:rPr>
                <w:rFonts w:hint="eastAsia"/>
              </w:rPr>
              <w:t>日，欧盟发布了食品接触用再生塑料法规修订草案，该法规将取代</w:t>
            </w:r>
            <w:r>
              <w:t>2008</w:t>
            </w:r>
            <w:r>
              <w:rPr>
                <w:rFonts w:hint="eastAsia"/>
              </w:rPr>
              <w:t>年制定的现行欧盟法规</w:t>
            </w:r>
            <w:r>
              <w:t>(EU) 282/2008</w:t>
            </w:r>
            <w:r>
              <w:rPr>
                <w:rFonts w:hint="eastAsia"/>
              </w:rPr>
              <w:t>。现行法规制定了再生过程的具体要求，以确保用于食品接触的再生塑料材料和物品符合法规</w:t>
            </w:r>
            <w:r>
              <w:t>(EC) No 1935/2004</w:t>
            </w:r>
            <w:r>
              <w:rPr>
                <w:rFonts w:hint="eastAsia"/>
              </w:rPr>
              <w:t>第</w:t>
            </w:r>
            <w:r>
              <w:t>3</w:t>
            </w:r>
            <w:r>
              <w:rPr>
                <w:rFonts w:hint="eastAsia"/>
              </w:rPr>
              <w:t>条的要求，但是其并不适用于所有再生技术。因为制订法规时，只有少数再生技术存在，这些技术并不一定适用于所有回收场景。法规草案具体修订如下：</w:t>
            </w:r>
          </w:p>
          <w:p w:rsidR="00B907F0" w:rsidRDefault="00B907F0" w:rsidP="004C323D">
            <w:r>
              <w:rPr>
                <w:rFonts w:hint="eastAsia"/>
              </w:rPr>
              <w:t>“新技术”的定义包含在第</w:t>
            </w:r>
            <w:r>
              <w:t>3</w:t>
            </w:r>
            <w:r>
              <w:rPr>
                <w:rFonts w:hint="eastAsia"/>
              </w:rPr>
              <w:t>条中，该法规规定，“任何未根据第</w:t>
            </w:r>
            <w:r>
              <w:t>15</w:t>
            </w:r>
            <w:r>
              <w:rPr>
                <w:rFonts w:hint="eastAsia"/>
              </w:rPr>
              <w:t>条或第</w:t>
            </w:r>
            <w:r>
              <w:t>16</w:t>
            </w:r>
            <w:r>
              <w:rPr>
                <w:rFonts w:hint="eastAsia"/>
              </w:rPr>
              <w:t>条对其适用性作出决定的回收技术，应被视为本法规中的新技术”。此外，第</w:t>
            </w:r>
            <w:r>
              <w:t>3</w:t>
            </w:r>
            <w:r>
              <w:rPr>
                <w:rFonts w:hint="eastAsia"/>
              </w:rPr>
              <w:t>条中提到的“潜在残留污染”已被删除，第</w:t>
            </w:r>
            <w:r>
              <w:t>5</w:t>
            </w:r>
            <w:r>
              <w:rPr>
                <w:rFonts w:hint="eastAsia"/>
              </w:rPr>
              <w:t>条更新了标签要求。法规还规定了有关企业监控和报告的要求。</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23</w:t>
            </w:r>
          </w:p>
        </w:tc>
        <w:tc>
          <w:tcPr>
            <w:tcW w:w="12223" w:type="dxa"/>
          </w:tcPr>
          <w:p w:rsidR="00B907F0" w:rsidRPr="004C323D" w:rsidRDefault="00B907F0">
            <w:r w:rsidRPr="004C323D">
              <w:rPr>
                <w:rFonts w:hint="eastAsia"/>
              </w:rPr>
              <w:t>欧盟批准柠檬提取物作为所有动物的饲料添加剂。据欧盟官方公报消息，</w:t>
            </w:r>
            <w:r w:rsidRPr="004C323D">
              <w:t>2022</w:t>
            </w:r>
            <w:r w:rsidRPr="004C323D">
              <w:rPr>
                <w:rFonts w:hint="eastAsia"/>
              </w:rPr>
              <w:t>年</w:t>
            </w:r>
            <w:r w:rsidRPr="004C323D">
              <w:t>4</w:t>
            </w:r>
            <w:r w:rsidRPr="004C323D">
              <w:rPr>
                <w:rFonts w:hint="eastAsia"/>
              </w:rPr>
              <w:t>月</w:t>
            </w:r>
            <w:r w:rsidRPr="004C323D">
              <w:t>4</w:t>
            </w:r>
            <w:r w:rsidRPr="004C323D">
              <w:rPr>
                <w:rFonts w:hint="eastAsia"/>
              </w:rPr>
              <w:t>日，欧盟委员会发布法规（</w:t>
            </w:r>
            <w:r w:rsidRPr="004C323D">
              <w:t>EU</w:t>
            </w:r>
            <w:r w:rsidRPr="004C323D">
              <w:rPr>
                <w:rFonts w:hint="eastAsia"/>
              </w:rPr>
              <w:t>）</w:t>
            </w:r>
            <w:r w:rsidRPr="004C323D">
              <w:t>2022/537</w:t>
            </w:r>
            <w:r w:rsidRPr="004C323D">
              <w:rPr>
                <w:rFonts w:hint="eastAsia"/>
              </w:rPr>
              <w:t>号条例，根据欧洲议会和理事会法规（</w:t>
            </w:r>
            <w:r w:rsidRPr="004C323D">
              <w:t>EC</w:t>
            </w:r>
            <w:r w:rsidRPr="004C323D">
              <w:rPr>
                <w:rFonts w:hint="eastAsia"/>
              </w:rPr>
              <w:t>）</w:t>
            </w:r>
            <w:r w:rsidRPr="004C323D">
              <w:t xml:space="preserve"> No 1831/2003</w:t>
            </w:r>
            <w:r w:rsidRPr="004C323D">
              <w:rPr>
                <w:rFonts w:hint="eastAsia"/>
              </w:rPr>
              <w:t>，批准柠檬提取物（</w:t>
            </w:r>
            <w:r w:rsidRPr="004C323D">
              <w:t>a preparation of lemon extract</w:t>
            </w:r>
            <w:r w:rsidRPr="004C323D">
              <w:rPr>
                <w:rFonts w:hint="eastAsia"/>
              </w:rPr>
              <w:t>）作为所有动物的饲料添加剂。</w:t>
            </w:r>
            <w:r w:rsidRPr="004C323D">
              <w:t xml:space="preserve"> </w:t>
            </w:r>
            <w:r w:rsidRPr="004C323D">
              <w:rPr>
                <w:rFonts w:hint="eastAsia"/>
              </w:rPr>
              <w:t>根据附件中规定的条件，这种添加剂被授权作为动物添加剂的所属类别为“感官添加剂”，功能组别为“调味化合物”。授权结束日期为</w:t>
            </w:r>
            <w:r w:rsidRPr="004C323D">
              <w:t>2032</w:t>
            </w:r>
            <w:r w:rsidRPr="004C323D">
              <w:rPr>
                <w:rFonts w:hint="eastAsia"/>
              </w:rPr>
              <w:t>年</w:t>
            </w:r>
            <w:r w:rsidRPr="004C323D">
              <w:t>4</w:t>
            </w:r>
            <w:r w:rsidRPr="004C323D">
              <w:rPr>
                <w:rFonts w:hint="eastAsia"/>
              </w:rPr>
              <w:t>月</w:t>
            </w:r>
            <w:r w:rsidRPr="004C323D">
              <w:t>25</w:t>
            </w:r>
            <w:r w:rsidRPr="004C323D">
              <w:rPr>
                <w:rFonts w:hint="eastAsia"/>
              </w:rPr>
              <w:t>日。本条例自发布之日起第二十天生效。</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24</w:t>
            </w:r>
          </w:p>
        </w:tc>
        <w:tc>
          <w:tcPr>
            <w:tcW w:w="12223" w:type="dxa"/>
          </w:tcPr>
          <w:p w:rsidR="00B907F0" w:rsidRDefault="00B907F0">
            <w:r w:rsidRPr="004C323D">
              <w:rPr>
                <w:rFonts w:hint="eastAsia"/>
              </w:rPr>
              <w:t>欧盟生物杀灭剂产品委员新决议：</w:t>
            </w:r>
            <w:r w:rsidRPr="004C323D">
              <w:t>3</w:t>
            </w:r>
            <w:r w:rsidRPr="004C323D">
              <w:rPr>
                <w:rFonts w:hint="eastAsia"/>
              </w:rPr>
              <w:t>个物质被禁用或限用。</w:t>
            </w:r>
            <w:r w:rsidRPr="004C323D">
              <w:t>2022</w:t>
            </w:r>
            <w:r w:rsidRPr="004C323D">
              <w:rPr>
                <w:rFonts w:hint="eastAsia"/>
              </w:rPr>
              <w:t>年</w:t>
            </w:r>
            <w:r w:rsidRPr="004C323D">
              <w:t>3</w:t>
            </w:r>
            <w:r w:rsidRPr="004C323D">
              <w:rPr>
                <w:rFonts w:hint="eastAsia"/>
              </w:rPr>
              <w:t>月，欧盟化学品管理局（</w:t>
            </w:r>
            <w:r w:rsidRPr="004C323D">
              <w:t>ECHA</w:t>
            </w:r>
            <w:r w:rsidRPr="004C323D">
              <w:rPr>
                <w:rFonts w:hint="eastAsia"/>
              </w:rPr>
              <w:t>）下的生物杀灭剂产品委员会（</w:t>
            </w:r>
            <w:r w:rsidRPr="004C323D">
              <w:t>BPC</w:t>
            </w:r>
            <w:r w:rsidRPr="004C323D">
              <w:rPr>
                <w:rFonts w:hint="eastAsia"/>
              </w:rPr>
              <w:t>）举行了会议，会议上通过了欧盟</w:t>
            </w:r>
            <w:r w:rsidRPr="004C323D">
              <w:t>BPR</w:t>
            </w:r>
            <w:r w:rsidRPr="004C323D">
              <w:rPr>
                <w:rFonts w:hint="eastAsia"/>
              </w:rPr>
              <w:t>下的</w:t>
            </w:r>
            <w:r w:rsidRPr="004C323D">
              <w:t>3</w:t>
            </w:r>
            <w:r w:rsidRPr="004C323D">
              <w:rPr>
                <w:rFonts w:hint="eastAsia"/>
              </w:rPr>
              <w:t>项关于活性物质应用的意见。</w:t>
            </w:r>
            <w:r w:rsidRPr="004C323D">
              <w:t xml:space="preserve"> </w:t>
            </w:r>
            <w:r w:rsidRPr="004C323D">
              <w:rPr>
                <w:rFonts w:hint="eastAsia"/>
              </w:rPr>
              <w:t>欧盟</w:t>
            </w:r>
            <w:r w:rsidRPr="004C323D">
              <w:t>BPC</w:t>
            </w:r>
            <w:r w:rsidRPr="004C323D">
              <w:rPr>
                <w:rFonts w:hint="eastAsia"/>
              </w:rPr>
              <w:t>对于三个活性物质的批准与否的建议如下：</w:t>
            </w:r>
            <w:r w:rsidRPr="004C323D">
              <w:t xml:space="preserve"> </w:t>
            </w:r>
            <w:r w:rsidRPr="004C323D">
              <w:rPr>
                <w:rFonts w:hint="eastAsia"/>
              </w:rPr>
              <w:t>（</w:t>
            </w:r>
            <w:r w:rsidRPr="004C323D">
              <w:t>1</w:t>
            </w:r>
            <w:r w:rsidRPr="004C323D">
              <w:rPr>
                <w:rFonts w:hint="eastAsia"/>
              </w:rPr>
              <w:t>）二硫氰基甲烷（</w:t>
            </w:r>
            <w:r w:rsidRPr="004C323D">
              <w:t>CAS</w:t>
            </w:r>
            <w:r w:rsidRPr="004C323D">
              <w:rPr>
                <w:rFonts w:hint="eastAsia"/>
              </w:rPr>
              <w:t>号：</w:t>
            </w:r>
            <w:r w:rsidRPr="004C323D">
              <w:t xml:space="preserve">6317-18-6 PT12 </w:t>
            </w:r>
            <w:r w:rsidRPr="004C323D">
              <w:rPr>
                <w:rFonts w:hint="eastAsia"/>
              </w:rPr>
              <w:t>杀粘菌剂）</w:t>
            </w:r>
            <w:r w:rsidRPr="004C323D">
              <w:t xml:space="preserve"> </w:t>
            </w:r>
            <w:r w:rsidRPr="004C323D">
              <w:rPr>
                <w:rFonts w:hint="eastAsia"/>
              </w:rPr>
              <w:t>二硫氰基甲烷（</w:t>
            </w:r>
            <w:r w:rsidRPr="004C323D">
              <w:t>methylene dithiocyanate</w:t>
            </w:r>
            <w:r w:rsidRPr="004C323D">
              <w:rPr>
                <w:rFonts w:hint="eastAsia"/>
              </w:rPr>
              <w:t>；</w:t>
            </w:r>
            <w:r w:rsidRPr="004C323D">
              <w:t>CAS</w:t>
            </w:r>
            <w:r w:rsidRPr="004C323D">
              <w:rPr>
                <w:rFonts w:hint="eastAsia"/>
              </w:rPr>
              <w:t>号：</w:t>
            </w:r>
            <w:r w:rsidRPr="004C323D">
              <w:t>6317-18-6</w:t>
            </w:r>
            <w:r w:rsidRPr="004C323D">
              <w:rPr>
                <w:rFonts w:hint="eastAsia"/>
              </w:rPr>
              <w:t>），此产品拟由专业人士在造纸过程中通过间歇或大剂量施药（</w:t>
            </w:r>
            <w:r w:rsidRPr="004C323D">
              <w:t>PT12</w:t>
            </w:r>
            <w:r w:rsidRPr="004C323D">
              <w:rPr>
                <w:rFonts w:hint="eastAsia"/>
              </w:rPr>
              <w:t>）使用，以控制包括酵母、细菌和藻类在内的真菌的微生物增殖。</w:t>
            </w:r>
            <w:r w:rsidRPr="004C323D">
              <w:t xml:space="preserve"> BPC</w:t>
            </w:r>
            <w:r w:rsidRPr="004C323D">
              <w:rPr>
                <w:rFonts w:hint="eastAsia"/>
              </w:rPr>
              <w:t>建议，不批准二硫氰基甲烷用于杀粘菌剂（</w:t>
            </w:r>
            <w:r w:rsidRPr="004C323D">
              <w:t>slimicide</w:t>
            </w:r>
            <w:r w:rsidRPr="004C323D">
              <w:rPr>
                <w:rFonts w:hint="eastAsia"/>
              </w:rPr>
              <w:t>）</w:t>
            </w:r>
            <w:r w:rsidRPr="004C323D">
              <w:t>PT12</w:t>
            </w:r>
            <w:r w:rsidRPr="004C323D">
              <w:rPr>
                <w:rFonts w:hint="eastAsia"/>
              </w:rPr>
              <w:t>，因为它对水生生物具有极大的毒性，会产生长期影响，从而导致环境风险。</w:t>
            </w:r>
            <w:r w:rsidRPr="004C323D">
              <w:t xml:space="preserve"> </w:t>
            </w:r>
            <w:r w:rsidRPr="004C323D">
              <w:rPr>
                <w:rFonts w:hint="eastAsia"/>
              </w:rPr>
              <w:t>（</w:t>
            </w:r>
            <w:r w:rsidRPr="004C323D">
              <w:t>2</w:t>
            </w:r>
            <w:r w:rsidRPr="004C323D">
              <w:rPr>
                <w:rFonts w:hint="eastAsia"/>
              </w:rPr>
              <w:t>）丙环唑（</w:t>
            </w:r>
            <w:r w:rsidRPr="004C323D">
              <w:t>CAS</w:t>
            </w:r>
            <w:r w:rsidRPr="004C323D">
              <w:rPr>
                <w:rFonts w:hint="eastAsia"/>
              </w:rPr>
              <w:t>号：</w:t>
            </w:r>
            <w:r w:rsidRPr="004C323D">
              <w:t xml:space="preserve">60207-90-1 PT8 </w:t>
            </w:r>
            <w:r w:rsidRPr="004C323D">
              <w:rPr>
                <w:rFonts w:hint="eastAsia"/>
              </w:rPr>
              <w:t>木材防腐剂）</w:t>
            </w:r>
            <w:r w:rsidRPr="004C323D">
              <w:t xml:space="preserve"> </w:t>
            </w:r>
            <w:r w:rsidRPr="004C323D">
              <w:rPr>
                <w:rFonts w:hint="eastAsia"/>
              </w:rPr>
              <w:t>使用在木材防腐剂（</w:t>
            </w:r>
            <w:r w:rsidRPr="004C323D">
              <w:t>PT8</w:t>
            </w:r>
            <w:r w:rsidRPr="004C323D">
              <w:rPr>
                <w:rFonts w:hint="eastAsia"/>
              </w:rPr>
              <w:t>）中的丙环唑（</w:t>
            </w:r>
            <w:r w:rsidRPr="004C323D">
              <w:t>propiconazole</w:t>
            </w:r>
            <w:r w:rsidRPr="004C323D">
              <w:rPr>
                <w:rFonts w:hint="eastAsia"/>
              </w:rPr>
              <w:t>；</w:t>
            </w:r>
            <w:r w:rsidRPr="004C323D">
              <w:t>CAS</w:t>
            </w:r>
            <w:r w:rsidRPr="004C323D">
              <w:rPr>
                <w:rFonts w:hint="eastAsia"/>
              </w:rPr>
              <w:t>号：</w:t>
            </w:r>
            <w:r w:rsidRPr="004C323D">
              <w:t>60207-90-1</w:t>
            </w:r>
            <w:r w:rsidRPr="004C323D">
              <w:rPr>
                <w:rFonts w:hint="eastAsia"/>
              </w:rPr>
              <w:t>），可用作木材杀菌剂，防止木材破坏和变色。此次，欧盟委员会对于丙环唑续展的结论是，由于该物质有生殖毒性，并且可能导致内分泌紊乱，因此符合排除标准（</w:t>
            </w:r>
            <w:r w:rsidRPr="004C323D">
              <w:t>exclusion criteria</w:t>
            </w:r>
            <w:r w:rsidRPr="004C323D">
              <w:rPr>
                <w:rFonts w:hint="eastAsia"/>
              </w:rPr>
              <w:t>）。原则上，符合排除标准的活性物质将不予批准。但是在没有替代品的情况下，出于公共健康或公共利益的考虑，活性物质可以得到批准。欧洲委员会将进一步收集信息开展评价，特别是不同用途的合适的充分的替代品的信息。</w:t>
            </w:r>
            <w:r w:rsidRPr="004C323D">
              <w:t xml:space="preserve"> </w:t>
            </w:r>
            <w:r w:rsidRPr="004C323D">
              <w:rPr>
                <w:rFonts w:hint="eastAsia"/>
              </w:rPr>
              <w:t>（</w:t>
            </w:r>
            <w:r w:rsidRPr="004C323D">
              <w:t>3</w:t>
            </w:r>
            <w:r w:rsidRPr="004C323D">
              <w:rPr>
                <w:rFonts w:hint="eastAsia"/>
              </w:rPr>
              <w:t>）信息素（</w:t>
            </w:r>
            <w:r w:rsidRPr="004C323D">
              <w:t>CAS</w:t>
            </w:r>
            <w:r w:rsidRPr="004C323D">
              <w:rPr>
                <w:rFonts w:hint="eastAsia"/>
              </w:rPr>
              <w:t>号：</w:t>
            </w:r>
            <w:r w:rsidRPr="004C323D">
              <w:t xml:space="preserve">78617-58-0 PT19 </w:t>
            </w:r>
            <w:r w:rsidRPr="004C323D">
              <w:rPr>
                <w:rFonts w:hint="eastAsia"/>
              </w:rPr>
              <w:t>驱避剂和引诱剂）</w:t>
            </w:r>
            <w:r w:rsidRPr="004C323D">
              <w:t xml:space="preserve"> </w:t>
            </w:r>
            <w:r w:rsidRPr="004C323D">
              <w:rPr>
                <w:rFonts w:hint="eastAsia"/>
              </w:rPr>
              <w:t>新活性物质</w:t>
            </w:r>
            <w:r w:rsidRPr="004C323D">
              <w:t>(13Z)-hexadec-13-en-11-yn-1-yl acetate</w:t>
            </w:r>
            <w:r w:rsidRPr="004C323D">
              <w:rPr>
                <w:rFonts w:hint="eastAsia"/>
              </w:rPr>
              <w:t>（</w:t>
            </w:r>
            <w:r w:rsidRPr="004C323D">
              <w:t>CAS</w:t>
            </w:r>
            <w:r w:rsidRPr="004C323D">
              <w:rPr>
                <w:rFonts w:hint="eastAsia"/>
              </w:rPr>
              <w:t>号：</w:t>
            </w:r>
            <w:r w:rsidRPr="004C323D">
              <w:t>78617-58-0</w:t>
            </w:r>
            <w:r w:rsidRPr="004C323D">
              <w:rPr>
                <w:rFonts w:hint="eastAsia"/>
              </w:rPr>
              <w:t>）是一种信息素，用于预防有毒的毛虫瘟疫，属于驱避剂和引诱剂（</w:t>
            </w:r>
            <w:r w:rsidRPr="004C323D">
              <w:t>PT19</w:t>
            </w:r>
            <w:r w:rsidRPr="004C323D">
              <w:rPr>
                <w:rFonts w:hint="eastAsia"/>
              </w:rPr>
              <w:t>）。</w:t>
            </w:r>
            <w:r w:rsidRPr="004C323D">
              <w:t xml:space="preserve"> </w:t>
            </w:r>
            <w:r w:rsidRPr="004C323D">
              <w:rPr>
                <w:rFonts w:hint="eastAsia"/>
              </w:rPr>
              <w:t>这种信息素被包裹在天然蜡或油中，形成凝胶，再被引入可生物降解的聚合物壳中，形成球状。</w:t>
            </w:r>
            <w:r w:rsidRPr="004C323D">
              <w:t>BPC</w:t>
            </w:r>
            <w:r w:rsidRPr="004C323D">
              <w:rPr>
                <w:rFonts w:hint="eastAsia"/>
              </w:rPr>
              <w:t>支持批准该活性物质，但</w:t>
            </w:r>
            <w:r w:rsidRPr="004C323D">
              <w:t>BPC</w:t>
            </w:r>
            <w:r w:rsidRPr="004C323D">
              <w:rPr>
                <w:rFonts w:hint="eastAsia"/>
              </w:rPr>
              <w:t>建议批准的前提是，应对申请公司提出的具体用途和申请方法做限制。</w:t>
            </w:r>
            <w:r w:rsidRPr="004C323D">
              <w:t xml:space="preserve"> </w:t>
            </w:r>
            <w:r w:rsidRPr="004C323D">
              <w:rPr>
                <w:rFonts w:hint="eastAsia"/>
              </w:rPr>
              <w:t>此外，欧盟委员会通过了下述物质的统一授权的</w:t>
            </w:r>
            <w:r w:rsidRPr="004C323D">
              <w:t>4</w:t>
            </w:r>
            <w:r w:rsidRPr="004C323D">
              <w:rPr>
                <w:rFonts w:hint="eastAsia"/>
              </w:rPr>
              <w:t>项积极意见：</w:t>
            </w:r>
            <w:r w:rsidRPr="004C323D">
              <w:t xml:space="preserve"> </w:t>
            </w:r>
            <w:r w:rsidRPr="004C323D">
              <w:rPr>
                <w:rFonts w:hint="eastAsia"/>
              </w:rPr>
              <w:t>（</w:t>
            </w:r>
            <w:r w:rsidRPr="004C323D">
              <w:t>1</w:t>
            </w:r>
            <w:r w:rsidRPr="004C323D">
              <w:rPr>
                <w:rFonts w:hint="eastAsia"/>
              </w:rPr>
              <w:t>）丙醇（</w:t>
            </w:r>
            <w:r w:rsidRPr="004C323D">
              <w:t>propan-1-ol</w:t>
            </w:r>
            <w:r w:rsidRPr="004C323D">
              <w:rPr>
                <w:rFonts w:hint="eastAsia"/>
              </w:rPr>
              <w:t>）：用于人体表面卫生用</w:t>
            </w:r>
            <w:r w:rsidRPr="004C323D">
              <w:t>PT1</w:t>
            </w:r>
            <w:r w:rsidRPr="004C323D">
              <w:rPr>
                <w:rFonts w:hint="eastAsia"/>
              </w:rPr>
              <w:t>。</w:t>
            </w:r>
            <w:r w:rsidRPr="004C323D">
              <w:t xml:space="preserve"> </w:t>
            </w:r>
            <w:r w:rsidRPr="004C323D">
              <w:rPr>
                <w:rFonts w:hint="eastAsia"/>
              </w:rPr>
              <w:t>（</w:t>
            </w:r>
            <w:r w:rsidRPr="004C323D">
              <w:t>2</w:t>
            </w:r>
            <w:r w:rsidRPr="004C323D">
              <w:rPr>
                <w:rFonts w:hint="eastAsia"/>
              </w:rPr>
              <w:t>）异丙醇（</w:t>
            </w:r>
            <w:r w:rsidRPr="004C323D">
              <w:t>propan-2-ol</w:t>
            </w:r>
            <w:r w:rsidRPr="004C323D">
              <w:rPr>
                <w:rFonts w:hint="eastAsia"/>
              </w:rPr>
              <w:t>）：用于非直接用于人或动物的消毒剂和除藻剂（</w:t>
            </w:r>
            <w:r w:rsidRPr="004C323D">
              <w:t>PT2</w:t>
            </w:r>
            <w:r w:rsidRPr="004C323D">
              <w:rPr>
                <w:rFonts w:hint="eastAsia"/>
              </w:rPr>
              <w:t>）和与食品和动物饲料接触表面的消毒剂</w:t>
            </w:r>
            <w:r w:rsidRPr="004C323D">
              <w:t>(PT4)</w:t>
            </w:r>
            <w:r w:rsidRPr="004C323D">
              <w:rPr>
                <w:rFonts w:hint="eastAsia"/>
              </w:rPr>
              <w:t>。</w:t>
            </w:r>
            <w:r w:rsidRPr="004C323D">
              <w:t xml:space="preserve"> </w:t>
            </w:r>
            <w:r w:rsidRPr="004C323D">
              <w:rPr>
                <w:rFonts w:hint="eastAsia"/>
              </w:rPr>
              <w:t>（</w:t>
            </w:r>
            <w:r w:rsidRPr="004C323D">
              <w:t>3</w:t>
            </w:r>
            <w:r w:rsidRPr="004C323D">
              <w:rPr>
                <w:rFonts w:hint="eastAsia"/>
              </w:rPr>
              <w:t>）</w:t>
            </w:r>
            <w:r w:rsidRPr="004C323D">
              <w:t>L-(+)</w:t>
            </w:r>
            <w:r w:rsidRPr="004C323D">
              <w:rPr>
                <w:rFonts w:hint="eastAsia"/>
              </w:rPr>
              <w:t>乳酸（</w:t>
            </w:r>
            <w:r w:rsidRPr="004C323D">
              <w:t>L-(+)lactic acid</w:t>
            </w:r>
            <w:r w:rsidRPr="004C323D">
              <w:rPr>
                <w:rFonts w:hint="eastAsia"/>
              </w:rPr>
              <w:t>）：用于</w:t>
            </w:r>
            <w:r w:rsidRPr="004C323D">
              <w:t>PT2</w:t>
            </w:r>
            <w:r w:rsidRPr="004C323D">
              <w:rPr>
                <w:rFonts w:hint="eastAsia"/>
              </w:rPr>
              <w:t>。</w:t>
            </w:r>
            <w:r w:rsidRPr="004C323D">
              <w:t xml:space="preserve"> </w:t>
            </w:r>
            <w:r w:rsidRPr="004C323D">
              <w:rPr>
                <w:rFonts w:hint="eastAsia"/>
              </w:rPr>
              <w:t>（</w:t>
            </w:r>
            <w:r w:rsidRPr="004C323D">
              <w:t>4</w:t>
            </w:r>
            <w:r w:rsidRPr="004C323D">
              <w:rPr>
                <w:rFonts w:hint="eastAsia"/>
              </w:rPr>
              <w:t>）次氯酸钠释放（</w:t>
            </w:r>
            <w:r w:rsidRPr="004C323D">
              <w:t>sodium hypochlorite</w:t>
            </w:r>
            <w:r w:rsidRPr="004C323D">
              <w:rPr>
                <w:rFonts w:hint="eastAsia"/>
              </w:rPr>
              <w:t>）的活性氯（</w:t>
            </w:r>
            <w:r w:rsidRPr="004C323D">
              <w:t>active chlorine</w:t>
            </w:r>
            <w:r w:rsidRPr="004C323D">
              <w:rPr>
                <w:rFonts w:hint="eastAsia"/>
              </w:rPr>
              <w:t>）：用于</w:t>
            </w:r>
            <w:r w:rsidRPr="004C323D">
              <w:t>PT2</w:t>
            </w:r>
            <w:r w:rsidRPr="004C323D">
              <w:rPr>
                <w:rFonts w:hint="eastAsia"/>
              </w:rPr>
              <w:t>。</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25</w:t>
            </w:r>
          </w:p>
        </w:tc>
        <w:tc>
          <w:tcPr>
            <w:tcW w:w="12223" w:type="dxa"/>
          </w:tcPr>
          <w:p w:rsidR="00B907F0" w:rsidRPr="004C323D" w:rsidRDefault="00B907F0">
            <w:r w:rsidRPr="004C323D">
              <w:rPr>
                <w:rFonts w:hint="eastAsia"/>
              </w:rPr>
              <w:t>欧盟确定全自动车辆自动驾驶系统型式批准所需的技术规范及要求。该法规草案根据关于车辆一般安全的法规</w:t>
            </w:r>
            <w:r w:rsidRPr="004C323D">
              <w:t xml:space="preserve"> (EU) 2019/2144 </w:t>
            </w:r>
            <w:r w:rsidRPr="004C323D">
              <w:rPr>
                <w:rFonts w:hint="eastAsia"/>
              </w:rPr>
              <w:t>第</w:t>
            </w:r>
            <w:r w:rsidRPr="004C323D">
              <w:t xml:space="preserve"> 11 </w:t>
            </w:r>
            <w:r w:rsidRPr="004C323D">
              <w:rPr>
                <w:rFonts w:hint="eastAsia"/>
              </w:rPr>
              <w:t>条，确定了全自动车辆自动驾驶系统型式批准所需的技术规范、评估和测试要求以及管理要求。</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26</w:t>
            </w:r>
          </w:p>
        </w:tc>
        <w:tc>
          <w:tcPr>
            <w:tcW w:w="12223" w:type="dxa"/>
          </w:tcPr>
          <w:p w:rsidR="00B907F0" w:rsidRPr="004C323D" w:rsidRDefault="00B907F0">
            <w:r w:rsidRPr="004C323D">
              <w:rPr>
                <w:rFonts w:hint="eastAsia"/>
              </w:rPr>
              <w:t>欧盟批准山苍子精油作为某些动物的饲料添加剂。据欧盟官方公报消息，</w:t>
            </w:r>
            <w:r w:rsidRPr="004C323D">
              <w:t>2022</w:t>
            </w:r>
            <w:r w:rsidRPr="004C323D">
              <w:rPr>
                <w:rFonts w:hint="eastAsia"/>
              </w:rPr>
              <w:t>年</w:t>
            </w:r>
            <w:r w:rsidRPr="004C323D">
              <w:t>4</w:t>
            </w:r>
            <w:r w:rsidRPr="004C323D">
              <w:rPr>
                <w:rFonts w:hint="eastAsia"/>
              </w:rPr>
              <w:t>月</w:t>
            </w:r>
            <w:r w:rsidRPr="004C323D">
              <w:t>12</w:t>
            </w:r>
            <w:r w:rsidRPr="004C323D">
              <w:rPr>
                <w:rFonts w:hint="eastAsia"/>
              </w:rPr>
              <w:t>日，欧盟委员会发布法规（</w:t>
            </w:r>
            <w:r w:rsidRPr="004C323D">
              <w:t>EU</w:t>
            </w:r>
            <w:r w:rsidRPr="004C323D">
              <w:rPr>
                <w:rFonts w:hint="eastAsia"/>
              </w:rPr>
              <w:t>）</w:t>
            </w:r>
            <w:r w:rsidRPr="004C323D">
              <w:t>2022/593</w:t>
            </w:r>
            <w:r w:rsidRPr="004C323D">
              <w:rPr>
                <w:rFonts w:hint="eastAsia"/>
              </w:rPr>
              <w:t>号条例，根据欧洲议会和理事会法规（</w:t>
            </w:r>
            <w:r w:rsidRPr="004C323D">
              <w:t>EC</w:t>
            </w:r>
            <w:r w:rsidRPr="004C323D">
              <w:rPr>
                <w:rFonts w:hint="eastAsia"/>
              </w:rPr>
              <w:t>）</w:t>
            </w:r>
            <w:r w:rsidRPr="004C323D">
              <w:t xml:space="preserve"> No 1831/2003</w:t>
            </w:r>
            <w:r w:rsidRPr="004C323D">
              <w:rPr>
                <w:rFonts w:hint="eastAsia"/>
              </w:rPr>
              <w:t>，批准山苍子精油（</w:t>
            </w:r>
            <w:r w:rsidRPr="004C323D">
              <w:t>litsea berry essential oil</w:t>
            </w:r>
            <w:r w:rsidRPr="004C323D">
              <w:rPr>
                <w:rFonts w:hint="eastAsia"/>
              </w:rPr>
              <w:t>）作为某些动物的饲料添加剂。</w:t>
            </w:r>
            <w:r w:rsidRPr="004C323D">
              <w:t xml:space="preserve"> </w:t>
            </w:r>
            <w:r w:rsidRPr="004C323D">
              <w:rPr>
                <w:rFonts w:hint="eastAsia"/>
              </w:rPr>
              <w:t>根据附件中规定的条件，这种添加剂被授权作为动物添加剂的所属类别为“感官添加剂”，功能组别为“调味化合物”。授权结束日期为</w:t>
            </w:r>
            <w:r w:rsidRPr="004C323D">
              <w:t>2032</w:t>
            </w:r>
            <w:r w:rsidRPr="004C323D">
              <w:rPr>
                <w:rFonts w:hint="eastAsia"/>
              </w:rPr>
              <w:t>年</w:t>
            </w:r>
            <w:r w:rsidRPr="004C323D">
              <w:t>5</w:t>
            </w:r>
            <w:r w:rsidRPr="004C323D">
              <w:rPr>
                <w:rFonts w:hint="eastAsia"/>
              </w:rPr>
              <w:t>月</w:t>
            </w:r>
            <w:r w:rsidRPr="004C323D">
              <w:t>2</w:t>
            </w:r>
            <w:r w:rsidRPr="004C323D">
              <w:rPr>
                <w:rFonts w:hint="eastAsia"/>
              </w:rPr>
              <w:t>日。本条例自发布之日起第二十天生效。</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27</w:t>
            </w:r>
          </w:p>
        </w:tc>
        <w:tc>
          <w:tcPr>
            <w:tcW w:w="12223" w:type="dxa"/>
          </w:tcPr>
          <w:p w:rsidR="00B907F0" w:rsidRDefault="00B907F0" w:rsidP="004C323D">
            <w:r>
              <w:rPr>
                <w:rFonts w:hint="eastAsia"/>
              </w:rPr>
              <w:t>欧盟修订汞在鱼类和盐中的最大残留限量。据欧盟官方公报消息，</w:t>
            </w:r>
            <w:r>
              <w:t>2022</w:t>
            </w:r>
            <w:r>
              <w:rPr>
                <w:rFonts w:hint="eastAsia"/>
              </w:rPr>
              <w:t>年</w:t>
            </w:r>
            <w:r>
              <w:t>4</w:t>
            </w:r>
            <w:r>
              <w:rPr>
                <w:rFonts w:hint="eastAsia"/>
              </w:rPr>
              <w:t>月</w:t>
            </w:r>
            <w:r>
              <w:t>12</w:t>
            </w:r>
            <w:r>
              <w:rPr>
                <w:rFonts w:hint="eastAsia"/>
              </w:rPr>
              <w:t>日，欧盟委员会发布</w:t>
            </w:r>
            <w:r>
              <w:t xml:space="preserve"> </w:t>
            </w:r>
            <w:r>
              <w:rPr>
                <w:rFonts w:hint="eastAsia"/>
              </w:rPr>
              <w:t>（</w:t>
            </w:r>
            <w:r>
              <w:t>EU</w:t>
            </w:r>
            <w:r>
              <w:rPr>
                <w:rFonts w:hint="eastAsia"/>
              </w:rPr>
              <w:t>）</w:t>
            </w:r>
            <w:r>
              <w:t xml:space="preserve"> 2022/617</w:t>
            </w:r>
            <w:r>
              <w:rPr>
                <w:rFonts w:hint="eastAsia"/>
              </w:rPr>
              <w:t>号条例，修订汞（</w:t>
            </w:r>
            <w:r>
              <w:t>mercury</w:t>
            </w:r>
            <w:r>
              <w:rPr>
                <w:rFonts w:hint="eastAsia"/>
              </w:rPr>
              <w:t>）在鱼类和盐中的最大残留限量。具体修订如下：</w:t>
            </w:r>
          </w:p>
          <w:p w:rsidR="00B907F0" w:rsidRDefault="00B907F0" w:rsidP="004C323D">
            <w:r>
              <w:rPr>
                <w:rFonts w:hint="eastAsia"/>
              </w:rPr>
              <w:t>在法规（</w:t>
            </w:r>
            <w:r>
              <w:t>EC</w:t>
            </w:r>
            <w:r>
              <w:rPr>
                <w:rFonts w:hint="eastAsia"/>
              </w:rPr>
              <w:t>）</w:t>
            </w:r>
            <w:r>
              <w:t>1881/2006</w:t>
            </w:r>
            <w:r>
              <w:rPr>
                <w:rFonts w:hint="eastAsia"/>
              </w:rPr>
              <w:t>附件中，第</w:t>
            </w:r>
            <w:r>
              <w:t>3</w:t>
            </w:r>
            <w:r>
              <w:rPr>
                <w:rFonts w:hint="eastAsia"/>
              </w:rPr>
              <w:t>节金属中，第</w:t>
            </w:r>
            <w:r>
              <w:t>3.3</w:t>
            </w:r>
            <w:r>
              <w:rPr>
                <w:rFonts w:hint="eastAsia"/>
              </w:rPr>
              <w:t>小节</w:t>
            </w:r>
            <w:r>
              <w:t>(</w:t>
            </w:r>
            <w:r>
              <w:rPr>
                <w:rFonts w:hint="eastAsia"/>
              </w:rPr>
              <w:t>汞</w:t>
            </w:r>
            <w:r>
              <w:t>)</w:t>
            </w:r>
            <w:r>
              <w:rPr>
                <w:rFonts w:hint="eastAsia"/>
              </w:rPr>
              <w:t>替换为以下内容</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5"/>
              <w:gridCol w:w="8221"/>
              <w:gridCol w:w="2466"/>
            </w:tblGrid>
            <w:tr w:rsidR="00B907F0" w:rsidTr="008E796A">
              <w:tc>
                <w:tcPr>
                  <w:tcW w:w="1305" w:type="dxa"/>
                  <w:tcBorders>
                    <w:top w:val="single" w:sz="4" w:space="0" w:color="000000"/>
                    <w:left w:val="single" w:sz="4" w:space="0" w:color="000000"/>
                    <w:bottom w:val="single" w:sz="4" w:space="0" w:color="000000"/>
                    <w:right w:val="single" w:sz="4" w:space="0" w:color="000000"/>
                  </w:tcBorders>
                </w:tcPr>
                <w:p w:rsidR="00B907F0" w:rsidRDefault="00B907F0" w:rsidP="004C323D"/>
              </w:tc>
              <w:tc>
                <w:tcPr>
                  <w:tcW w:w="8221" w:type="dxa"/>
                  <w:tcBorders>
                    <w:top w:val="single" w:sz="4" w:space="0" w:color="000000"/>
                    <w:left w:val="single" w:sz="4" w:space="0" w:color="000000"/>
                    <w:bottom w:val="single" w:sz="4" w:space="0" w:color="000000"/>
                    <w:right w:val="single" w:sz="4" w:space="0" w:color="000000"/>
                  </w:tcBorders>
                </w:tcPr>
                <w:p w:rsidR="00B907F0" w:rsidRPr="008E796A" w:rsidRDefault="00B907F0" w:rsidP="008E796A">
                  <w:pPr>
                    <w:jc w:val="center"/>
                    <w:rPr>
                      <w:b/>
                    </w:rPr>
                  </w:pPr>
                  <w:r w:rsidRPr="008E796A">
                    <w:rPr>
                      <w:rFonts w:hint="eastAsia"/>
                      <w:b/>
                    </w:rPr>
                    <w:t>食品</w:t>
                  </w:r>
                </w:p>
              </w:tc>
              <w:tc>
                <w:tcPr>
                  <w:tcW w:w="2466" w:type="dxa"/>
                  <w:tcBorders>
                    <w:top w:val="single" w:sz="4" w:space="0" w:color="000000"/>
                    <w:left w:val="single" w:sz="4" w:space="0" w:color="000000"/>
                    <w:bottom w:val="single" w:sz="4" w:space="0" w:color="000000"/>
                    <w:right w:val="single" w:sz="4" w:space="0" w:color="000000"/>
                  </w:tcBorders>
                </w:tcPr>
                <w:p w:rsidR="00B907F0" w:rsidRPr="008E796A" w:rsidRDefault="00B907F0" w:rsidP="008E796A">
                  <w:pPr>
                    <w:jc w:val="center"/>
                    <w:rPr>
                      <w:b/>
                    </w:rPr>
                  </w:pPr>
                  <w:r w:rsidRPr="008E796A">
                    <w:rPr>
                      <w:rFonts w:hint="eastAsia"/>
                      <w:b/>
                    </w:rPr>
                    <w:t>最大残留限量（</w:t>
                  </w:r>
                  <w:r w:rsidRPr="008E796A">
                    <w:rPr>
                      <w:b/>
                    </w:rPr>
                    <w:t>mg/kg)</w:t>
                  </w:r>
                </w:p>
              </w:tc>
            </w:tr>
            <w:tr w:rsidR="00B907F0" w:rsidTr="008E796A">
              <w:tc>
                <w:tcPr>
                  <w:tcW w:w="1305"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3.3</w:t>
                  </w:r>
                </w:p>
              </w:tc>
              <w:tc>
                <w:tcPr>
                  <w:tcW w:w="8221"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rPr>
                      <w:rFonts w:hint="eastAsia"/>
                    </w:rPr>
                    <w:t>汞</w:t>
                  </w:r>
                </w:p>
              </w:tc>
              <w:tc>
                <w:tcPr>
                  <w:tcW w:w="2466" w:type="dxa"/>
                  <w:tcBorders>
                    <w:top w:val="single" w:sz="4" w:space="0" w:color="000000"/>
                    <w:left w:val="single" w:sz="4" w:space="0" w:color="000000"/>
                    <w:bottom w:val="single" w:sz="4" w:space="0" w:color="000000"/>
                    <w:right w:val="single" w:sz="4" w:space="0" w:color="000000"/>
                  </w:tcBorders>
                </w:tcPr>
                <w:p w:rsidR="00B907F0" w:rsidRDefault="00B907F0" w:rsidP="004C323D"/>
              </w:tc>
            </w:tr>
            <w:tr w:rsidR="00B907F0" w:rsidTr="008E796A">
              <w:tc>
                <w:tcPr>
                  <w:tcW w:w="1305"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3.3.1</w:t>
                  </w:r>
                </w:p>
              </w:tc>
              <w:tc>
                <w:tcPr>
                  <w:tcW w:w="8221" w:type="dxa"/>
                  <w:tcBorders>
                    <w:top w:val="single" w:sz="4" w:space="0" w:color="000000"/>
                    <w:left w:val="single" w:sz="4" w:space="0" w:color="000000"/>
                    <w:bottom w:val="single" w:sz="4" w:space="0" w:color="000000"/>
                    <w:right w:val="single" w:sz="4" w:space="0" w:color="000000"/>
                  </w:tcBorders>
                </w:tcPr>
                <w:p w:rsidR="00B907F0" w:rsidRDefault="00B907F0" w:rsidP="004C323D">
                  <w:r>
                    <w:rPr>
                      <w:rFonts w:hint="eastAsia"/>
                    </w:rPr>
                    <w:t>鱼的渔业产品和肌肉，不包括</w:t>
                  </w:r>
                  <w:r>
                    <w:t>3.3.2</w:t>
                  </w:r>
                  <w:r>
                    <w:rPr>
                      <w:rFonts w:hint="eastAsia"/>
                    </w:rPr>
                    <w:t>和</w:t>
                  </w:r>
                  <w:r>
                    <w:t>3.3.3</w:t>
                  </w:r>
                  <w:r>
                    <w:rPr>
                      <w:rFonts w:hint="eastAsia"/>
                    </w:rPr>
                    <w:t>中所列的种类，甲壳类动物的最高含量适用于附肢和腹部的肌肉。对于螃蟹和类似螃蟹的甲壳类动物（短尾类和异尾类），它适用于附肢的肌肉。</w:t>
                  </w:r>
                </w:p>
              </w:tc>
              <w:tc>
                <w:tcPr>
                  <w:tcW w:w="2466" w:type="dxa"/>
                  <w:tcBorders>
                    <w:top w:val="single" w:sz="4" w:space="0" w:color="000000"/>
                    <w:left w:val="single" w:sz="4" w:space="0" w:color="000000"/>
                    <w:bottom w:val="single" w:sz="4" w:space="0" w:color="000000"/>
                    <w:right w:val="single" w:sz="4" w:space="0" w:color="000000"/>
                  </w:tcBorders>
                  <w:vAlign w:val="center"/>
                </w:tcPr>
                <w:p w:rsidR="00B907F0" w:rsidRDefault="00B907F0" w:rsidP="008E796A">
                  <w:pPr>
                    <w:jc w:val="center"/>
                  </w:pPr>
                  <w:r>
                    <w:t>0.50</w:t>
                  </w:r>
                </w:p>
              </w:tc>
            </w:tr>
            <w:tr w:rsidR="00B907F0" w:rsidTr="008E796A">
              <w:tc>
                <w:tcPr>
                  <w:tcW w:w="1305"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3.3.2</w:t>
                  </w:r>
                </w:p>
              </w:tc>
              <w:tc>
                <w:tcPr>
                  <w:tcW w:w="8221" w:type="dxa"/>
                  <w:tcBorders>
                    <w:top w:val="single" w:sz="4" w:space="0" w:color="000000"/>
                    <w:left w:val="single" w:sz="4" w:space="0" w:color="000000"/>
                    <w:bottom w:val="single" w:sz="4" w:space="0" w:color="000000"/>
                    <w:right w:val="single" w:sz="4" w:space="0" w:color="000000"/>
                  </w:tcBorders>
                </w:tcPr>
                <w:p w:rsidR="00B907F0" w:rsidRDefault="00B907F0" w:rsidP="004C323D">
                  <w:r>
                    <w:rPr>
                      <w:rFonts w:hint="eastAsia"/>
                    </w:rPr>
                    <w:t>下列鱼的肌肉：</w:t>
                  </w:r>
                  <w:r>
                    <w:t>Axillary seabream</w:t>
                  </w:r>
                  <w:r>
                    <w:rPr>
                      <w:rFonts w:hint="eastAsia"/>
                    </w:rPr>
                    <w:t>、黑色硬鳞鱼、黑斑鲈鱼、鲣鱼、鯡海鲷、玉梭鱼、大比目鱼、岬羽鼬、枪鱼、帆丽鲆、棘鳞蛇鲭、橙连鳍鲑、羽鼬鳚、狗鱼、平鲣鱼、臀鳕、红鳞鱼、</w:t>
                  </w:r>
                  <w:r>
                    <w:t>Roundnose grenadier</w:t>
                  </w:r>
                  <w:r>
                    <w:rPr>
                      <w:rFonts w:hint="eastAsia"/>
                    </w:rPr>
                    <w:t>、旗鱼、银鲈鱼、蛇鲭、鲟鱼、金色羊鱼、金枪鱼、鲨鱼、箭鱼</w:t>
                  </w:r>
                </w:p>
              </w:tc>
              <w:tc>
                <w:tcPr>
                  <w:tcW w:w="2466" w:type="dxa"/>
                  <w:tcBorders>
                    <w:top w:val="single" w:sz="4" w:space="0" w:color="000000"/>
                    <w:left w:val="single" w:sz="4" w:space="0" w:color="000000"/>
                    <w:bottom w:val="single" w:sz="4" w:space="0" w:color="000000"/>
                    <w:right w:val="single" w:sz="4" w:space="0" w:color="000000"/>
                  </w:tcBorders>
                  <w:vAlign w:val="center"/>
                </w:tcPr>
                <w:p w:rsidR="00B907F0" w:rsidRDefault="00B907F0" w:rsidP="008E796A">
                  <w:pPr>
                    <w:jc w:val="center"/>
                  </w:pPr>
                  <w:r>
                    <w:t>1.0</w:t>
                  </w:r>
                </w:p>
              </w:tc>
            </w:tr>
            <w:tr w:rsidR="00B907F0" w:rsidTr="008E796A">
              <w:tc>
                <w:tcPr>
                  <w:tcW w:w="1305"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3.3.3</w:t>
                  </w:r>
                </w:p>
              </w:tc>
              <w:tc>
                <w:tcPr>
                  <w:tcW w:w="8221" w:type="dxa"/>
                  <w:tcBorders>
                    <w:top w:val="single" w:sz="4" w:space="0" w:color="000000"/>
                    <w:left w:val="single" w:sz="4" w:space="0" w:color="000000"/>
                    <w:bottom w:val="single" w:sz="4" w:space="0" w:color="000000"/>
                    <w:right w:val="single" w:sz="4" w:space="0" w:color="000000"/>
                  </w:tcBorders>
                </w:tcPr>
                <w:p w:rsidR="00B907F0" w:rsidRDefault="00B907F0" w:rsidP="004C323D">
                  <w:r>
                    <w:rPr>
                      <w:rFonts w:hint="eastAsia"/>
                    </w:rPr>
                    <w:t>头足类动物、海洋腹足类动物</w:t>
                  </w:r>
                </w:p>
                <w:p w:rsidR="00B907F0" w:rsidRDefault="00B907F0" w:rsidP="004C323D">
                  <w:r>
                    <w:rPr>
                      <w:rFonts w:hint="eastAsia"/>
                    </w:rPr>
                    <w:t>下列鱼的肌肉：鯷鱼、狭鳕、大西洋鳕鱼、大西洋鲱鱼、巴沙鱼、鲤鱼、欧洲黄盖蝶、鲭鱼、欧洲比目鱼、欧洲鲽、欧洲鲱鱼、湄公河大鲶、青鳕、绿鳕、大马哈鱼＆鳟鱼、沙丁鱼或皮尔切德鱼、鳎、浅纹鳗鲶、牙鳕</w:t>
                  </w:r>
                </w:p>
              </w:tc>
              <w:tc>
                <w:tcPr>
                  <w:tcW w:w="2466" w:type="dxa"/>
                  <w:tcBorders>
                    <w:top w:val="single" w:sz="4" w:space="0" w:color="000000"/>
                    <w:left w:val="single" w:sz="4" w:space="0" w:color="000000"/>
                    <w:bottom w:val="single" w:sz="4" w:space="0" w:color="000000"/>
                    <w:right w:val="single" w:sz="4" w:space="0" w:color="000000"/>
                  </w:tcBorders>
                  <w:vAlign w:val="center"/>
                </w:tcPr>
                <w:p w:rsidR="00B907F0" w:rsidRDefault="00B907F0" w:rsidP="008E796A">
                  <w:pPr>
                    <w:jc w:val="center"/>
                  </w:pPr>
                  <w:r>
                    <w:t>0.30</w:t>
                  </w:r>
                </w:p>
              </w:tc>
            </w:tr>
            <w:tr w:rsidR="00B907F0" w:rsidTr="008E796A">
              <w:tc>
                <w:tcPr>
                  <w:tcW w:w="1305"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3.3.4</w:t>
                  </w:r>
                </w:p>
              </w:tc>
              <w:tc>
                <w:tcPr>
                  <w:tcW w:w="8221"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rPr>
                      <w:rFonts w:hint="eastAsia"/>
                    </w:rPr>
                    <w:t>食品补充剂</w:t>
                  </w:r>
                </w:p>
              </w:tc>
              <w:tc>
                <w:tcPr>
                  <w:tcW w:w="2466" w:type="dxa"/>
                  <w:tcBorders>
                    <w:top w:val="single" w:sz="4" w:space="0" w:color="000000"/>
                    <w:left w:val="single" w:sz="4" w:space="0" w:color="000000"/>
                    <w:bottom w:val="single" w:sz="4" w:space="0" w:color="000000"/>
                    <w:right w:val="single" w:sz="4" w:space="0" w:color="000000"/>
                  </w:tcBorders>
                  <w:vAlign w:val="center"/>
                </w:tcPr>
                <w:p w:rsidR="00B907F0" w:rsidRDefault="00B907F0" w:rsidP="008E796A">
                  <w:pPr>
                    <w:jc w:val="center"/>
                  </w:pPr>
                  <w:r>
                    <w:t>0.10</w:t>
                  </w:r>
                </w:p>
              </w:tc>
            </w:tr>
            <w:tr w:rsidR="00B907F0" w:rsidTr="008E796A">
              <w:tc>
                <w:tcPr>
                  <w:tcW w:w="1305"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3.3.5</w:t>
                  </w:r>
                </w:p>
              </w:tc>
              <w:tc>
                <w:tcPr>
                  <w:tcW w:w="8221"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rPr>
                      <w:rFonts w:hint="eastAsia"/>
                    </w:rPr>
                    <w:t>盐</w:t>
                  </w:r>
                </w:p>
              </w:tc>
              <w:tc>
                <w:tcPr>
                  <w:tcW w:w="2466" w:type="dxa"/>
                  <w:tcBorders>
                    <w:top w:val="single" w:sz="4" w:space="0" w:color="000000"/>
                    <w:left w:val="single" w:sz="4" w:space="0" w:color="000000"/>
                    <w:bottom w:val="single" w:sz="4" w:space="0" w:color="000000"/>
                    <w:right w:val="single" w:sz="4" w:space="0" w:color="000000"/>
                  </w:tcBorders>
                  <w:vAlign w:val="center"/>
                </w:tcPr>
                <w:p w:rsidR="00B907F0" w:rsidRDefault="00B907F0" w:rsidP="008E796A">
                  <w:pPr>
                    <w:jc w:val="center"/>
                  </w:pPr>
                  <w:r>
                    <w:t>0.10</w:t>
                  </w:r>
                </w:p>
              </w:tc>
            </w:tr>
          </w:tbl>
          <w:p w:rsidR="00B907F0" w:rsidRDefault="00B907F0" w:rsidP="004C323D"/>
        </w:tc>
      </w:tr>
      <w:tr w:rsidR="00B907F0" w:rsidTr="008E796A">
        <w:tc>
          <w:tcPr>
            <w:tcW w:w="1384" w:type="dxa"/>
            <w:vMerge w:val="restart"/>
            <w:vAlign w:val="center"/>
          </w:tcPr>
          <w:p w:rsidR="00B907F0" w:rsidRPr="008E796A" w:rsidRDefault="00B907F0" w:rsidP="008E796A">
            <w:pPr>
              <w:jc w:val="center"/>
              <w:rPr>
                <w:b/>
              </w:rPr>
            </w:pPr>
            <w:r w:rsidRPr="008E796A">
              <w:rPr>
                <w:rFonts w:hint="eastAsia"/>
                <w:b/>
              </w:rPr>
              <w:t>俄罗斯</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28</w:t>
            </w:r>
          </w:p>
        </w:tc>
        <w:tc>
          <w:tcPr>
            <w:tcW w:w="12223" w:type="dxa"/>
          </w:tcPr>
          <w:p w:rsidR="00B907F0" w:rsidRPr="006860DE" w:rsidRDefault="00B907F0">
            <w:r w:rsidRPr="006860DE">
              <w:rPr>
                <w:rFonts w:hint="eastAsia"/>
              </w:rPr>
              <w:t>俄罗斯将食品列入免税进口清单。</w:t>
            </w:r>
            <w:r w:rsidRPr="006860DE">
              <w:t>2022</w:t>
            </w:r>
            <w:r w:rsidRPr="006860DE">
              <w:rPr>
                <w:rFonts w:hint="eastAsia"/>
              </w:rPr>
              <w:t>年</w:t>
            </w:r>
            <w:r w:rsidRPr="006860DE">
              <w:t>3</w:t>
            </w:r>
            <w:r w:rsidRPr="006860DE">
              <w:rPr>
                <w:rFonts w:hint="eastAsia"/>
              </w:rPr>
              <w:t>月</w:t>
            </w:r>
            <w:r w:rsidRPr="006860DE">
              <w:t>31</w:t>
            </w:r>
            <w:r w:rsidRPr="006860DE">
              <w:rPr>
                <w:rFonts w:hint="eastAsia"/>
              </w:rPr>
              <w:t>日，国际文传电讯社消息，俄罗斯经济发展部表示，俄罗斯海关关税和非关税监管及外贸保护措施小组委员会已批准扩大可临时免税进口到该国的商品清单。它包括许多食品、化工产品、机械设备部件和轻工业原材料。“作为继续实施提高俄罗斯经济稳定性优先行动计划的一部分，经济发展部收到了工业和贸易部、数字发展部和其他机构的建议，以扩大先前批准的清单。提案还从欧亚经济联盟成员国收到的，”该部表示。“来自五个国家的‘临时免税进口’附加提案综合清单包括食品、化工产品、用于维修和保养机械设备的零部件、轻工业公司使用的原材料和其他产品。这一决定将使国内市场在当前条件下充满必要的商品成为可能，”经济发展部副部长弗拉基米尔·伊里切夫在新闻稿中说。该部表示，第一副总理安德烈·别洛乌索夫已经批准了小组委员会的会议记录。欧亚经济委员会（</w:t>
            </w:r>
            <w:r w:rsidRPr="006860DE">
              <w:t>EEC</w:t>
            </w:r>
            <w:r w:rsidRPr="006860DE">
              <w:rPr>
                <w:rFonts w:hint="eastAsia"/>
              </w:rPr>
              <w:t>）早些时候决定对一些用于生产的食品和产品免征进口关税六个月。“除其他外，该决定适用于动物和乳制品、蔬菜、葵花籽、果汁、糖、可可粉、氨基酸、淀粉、发酵剂和其他食品，”</w:t>
            </w:r>
            <w:r w:rsidRPr="006860DE">
              <w:t>EEC</w:t>
            </w:r>
            <w:r w:rsidRPr="006860DE">
              <w:rPr>
                <w:rFonts w:hint="eastAsia"/>
              </w:rPr>
              <w:t>贸易部表示。</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29</w:t>
            </w:r>
          </w:p>
        </w:tc>
        <w:tc>
          <w:tcPr>
            <w:tcW w:w="12223" w:type="dxa"/>
          </w:tcPr>
          <w:p w:rsidR="00B907F0" w:rsidRPr="006860DE" w:rsidRDefault="00B907F0">
            <w:r w:rsidRPr="006860DE">
              <w:rPr>
                <w:rFonts w:hint="eastAsia"/>
              </w:rPr>
              <w:t>俄罗斯于</w:t>
            </w:r>
            <w:r w:rsidRPr="006860DE">
              <w:t>2022</w:t>
            </w:r>
            <w:r w:rsidRPr="006860DE">
              <w:rPr>
                <w:rFonts w:hint="eastAsia"/>
              </w:rPr>
              <w:t>年</w:t>
            </w:r>
            <w:r w:rsidRPr="006860DE">
              <w:t>2</w:t>
            </w:r>
            <w:r w:rsidRPr="006860DE">
              <w:rPr>
                <w:rFonts w:hint="eastAsia"/>
              </w:rPr>
              <w:t>月</w:t>
            </w:r>
            <w:r w:rsidRPr="006860DE">
              <w:t>22</w:t>
            </w:r>
            <w:r w:rsidRPr="006860DE">
              <w:rPr>
                <w:rFonts w:hint="eastAsia"/>
              </w:rPr>
              <w:t>日取消了对从日本进口的未加工烟草和烟草废弃物的临时限制。</w:t>
            </w:r>
          </w:p>
        </w:tc>
      </w:tr>
      <w:tr w:rsidR="00B907F0" w:rsidTr="008E796A">
        <w:tc>
          <w:tcPr>
            <w:tcW w:w="1384" w:type="dxa"/>
            <w:vMerge w:val="restart"/>
            <w:vAlign w:val="center"/>
          </w:tcPr>
          <w:p w:rsidR="00B907F0" w:rsidRPr="008E796A" w:rsidRDefault="00B907F0" w:rsidP="008E796A">
            <w:pPr>
              <w:jc w:val="center"/>
              <w:rPr>
                <w:b/>
              </w:rPr>
            </w:pPr>
            <w:r w:rsidRPr="008E796A">
              <w:rPr>
                <w:rFonts w:hint="eastAsia"/>
                <w:b/>
              </w:rPr>
              <w:t>印度</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30</w:t>
            </w:r>
          </w:p>
        </w:tc>
        <w:tc>
          <w:tcPr>
            <w:tcW w:w="12223" w:type="dxa"/>
          </w:tcPr>
          <w:p w:rsidR="00B907F0" w:rsidRDefault="00B907F0">
            <w:r w:rsidRPr="006860DE">
              <w:rPr>
                <w:rFonts w:hint="eastAsia"/>
              </w:rPr>
              <w:t>印度发布特殊食品实施条例。</w:t>
            </w:r>
            <w:r w:rsidRPr="006860DE">
              <w:t>2022</w:t>
            </w:r>
            <w:r w:rsidRPr="006860DE">
              <w:rPr>
                <w:rFonts w:hint="eastAsia"/>
              </w:rPr>
              <w:t>年</w:t>
            </w:r>
            <w:r w:rsidRPr="006860DE">
              <w:t>3</w:t>
            </w:r>
            <w:r w:rsidRPr="006860DE">
              <w:rPr>
                <w:rFonts w:hint="eastAsia"/>
              </w:rPr>
              <w:t>月</w:t>
            </w:r>
            <w:r w:rsidRPr="006860DE">
              <w:t>30</w:t>
            </w:r>
            <w:r w:rsidRPr="006860DE">
              <w:rPr>
                <w:rFonts w:hint="eastAsia"/>
              </w:rPr>
              <w:t>日，印度食品安全标准局（</w:t>
            </w:r>
            <w:r w:rsidRPr="006860DE">
              <w:t>FSSAI</w:t>
            </w:r>
            <w:r w:rsidRPr="006860DE">
              <w:rPr>
                <w:rFonts w:hint="eastAsia"/>
              </w:rPr>
              <w:t>）发布</w:t>
            </w:r>
            <w:r w:rsidRPr="006860DE">
              <w:t>No.Std/sp-05/T</w:t>
            </w:r>
            <w:r w:rsidRPr="006860DE">
              <w:rPr>
                <w:rFonts w:hint="eastAsia"/>
              </w:rPr>
              <w:t>（</w:t>
            </w:r>
            <w:r w:rsidRPr="006860DE">
              <w:t>Nutraceutical-2022</w:t>
            </w:r>
            <w:r w:rsidRPr="006860DE">
              <w:rPr>
                <w:rFonts w:hint="eastAsia"/>
              </w:rPr>
              <w:t>）</w:t>
            </w:r>
            <w:r w:rsidRPr="006860DE">
              <w:t>[E-5184]</w:t>
            </w:r>
            <w:r w:rsidRPr="006860DE">
              <w:rPr>
                <w:rFonts w:hint="eastAsia"/>
              </w:rPr>
              <w:t>号文，发布</w:t>
            </w:r>
            <w:r w:rsidRPr="006860DE">
              <w:t>2022</w:t>
            </w:r>
            <w:r w:rsidRPr="006860DE">
              <w:rPr>
                <w:rFonts w:hint="eastAsia"/>
              </w:rPr>
              <w:t>年《保健品、营养补充品、特殊膳食用食品、特殊医疗用途食品以及含益生元和益生菌的食品条例》，取代了</w:t>
            </w:r>
            <w:r w:rsidRPr="006860DE">
              <w:t>2016</w:t>
            </w:r>
            <w:r w:rsidRPr="006860DE">
              <w:rPr>
                <w:rFonts w:hint="eastAsia"/>
              </w:rPr>
              <w:t>年的《保健品、营养补充品、特殊膳食用食品、特殊医学用途食品、功能性食品和新型食品法规》及其修订内容。新的条例主要内容为：（</w:t>
            </w:r>
            <w:r w:rsidRPr="006860DE">
              <w:t>1</w:t>
            </w:r>
            <w:r w:rsidRPr="006860DE">
              <w:rPr>
                <w:rFonts w:hint="eastAsia"/>
              </w:rPr>
              <w:t>）制定了该条例的适用范围和产品类别以及定义；（</w:t>
            </w:r>
            <w:r w:rsidRPr="006860DE">
              <w:t>2</w:t>
            </w:r>
            <w:r w:rsidRPr="006860DE">
              <w:rPr>
                <w:rFonts w:hint="eastAsia"/>
              </w:rPr>
              <w:t>）任何人不得制造、包装、销售、进口或以其他任何方式分销不符合本条例要求的相关产品；（</w:t>
            </w:r>
            <w:r w:rsidRPr="006860DE">
              <w:t>3</w:t>
            </w:r>
            <w:r w:rsidRPr="006860DE">
              <w:rPr>
                <w:rFonts w:hint="eastAsia"/>
              </w:rPr>
              <w:t>）对适用该条例的产品的规格、原料、添加剂、质量要求和标签等内容做出了规定。该条例自</w:t>
            </w:r>
            <w:r w:rsidRPr="006860DE">
              <w:t>2022</w:t>
            </w:r>
            <w:r w:rsidRPr="006860DE">
              <w:rPr>
                <w:rFonts w:hint="eastAsia"/>
              </w:rPr>
              <w:t>年</w:t>
            </w:r>
            <w:r w:rsidRPr="006860DE">
              <w:t>4</w:t>
            </w:r>
            <w:r w:rsidRPr="006860DE">
              <w:rPr>
                <w:rFonts w:hint="eastAsia"/>
              </w:rPr>
              <w:t>月</w:t>
            </w:r>
            <w:r w:rsidRPr="006860DE">
              <w:t>1</w:t>
            </w:r>
            <w:r w:rsidRPr="006860DE">
              <w:rPr>
                <w:rFonts w:hint="eastAsia"/>
              </w:rPr>
              <w:t>日起实施。</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31</w:t>
            </w:r>
          </w:p>
        </w:tc>
        <w:tc>
          <w:tcPr>
            <w:tcW w:w="12223" w:type="dxa"/>
          </w:tcPr>
          <w:p w:rsidR="00B907F0" w:rsidRDefault="00B907F0">
            <w:r w:rsidRPr="006860DE">
              <w:rPr>
                <w:rFonts w:hint="eastAsia"/>
              </w:rPr>
              <w:t>印度发布更严格的回收塑料法规。</w:t>
            </w:r>
            <w:r w:rsidRPr="006860DE">
              <w:t>2022</w:t>
            </w:r>
            <w:r w:rsidRPr="006860DE">
              <w:rPr>
                <w:rFonts w:hint="eastAsia"/>
              </w:rPr>
              <w:t>年</w:t>
            </w:r>
            <w:r w:rsidRPr="006860DE">
              <w:t>2</w:t>
            </w:r>
            <w:r w:rsidRPr="006860DE">
              <w:rPr>
                <w:rFonts w:hint="eastAsia"/>
              </w:rPr>
              <w:t>月</w:t>
            </w:r>
            <w:r w:rsidRPr="006860DE">
              <w:t>16</w:t>
            </w:r>
            <w:r w:rsidRPr="006860DE">
              <w:rPr>
                <w:rFonts w:hint="eastAsia"/>
              </w:rPr>
              <w:t>日，印度环境部（</w:t>
            </w:r>
            <w:r w:rsidRPr="006860DE">
              <w:t>MoE</w:t>
            </w:r>
            <w:r w:rsidRPr="006860DE">
              <w:rPr>
                <w:rFonts w:hint="eastAsia"/>
              </w:rPr>
              <w:t>）发布关于扩大国内塑料包装生产者责任（</w:t>
            </w:r>
            <w:r w:rsidRPr="006860DE">
              <w:t>EPR</w:t>
            </w:r>
            <w:r w:rsidRPr="006860DE">
              <w:rPr>
                <w:rFonts w:hint="eastAsia"/>
              </w:rPr>
              <w:t>）计划的指南，该指南立即生效。该计划适用于消费前和消费后的塑料废物，为塑料生产商、进口商和品牌所有者设定了越来越严格的回收目标。今年目标为至少</w:t>
            </w:r>
            <w:r w:rsidRPr="006860DE">
              <w:t>25%</w:t>
            </w:r>
            <w:r w:rsidRPr="006860DE">
              <w:rPr>
                <w:rFonts w:hint="eastAsia"/>
              </w:rPr>
              <w:t>的回收塑料。</w:t>
            </w:r>
            <w:r w:rsidRPr="006860DE">
              <w:t xml:space="preserve"> </w:t>
            </w:r>
            <w:r w:rsidRPr="006860DE">
              <w:rPr>
                <w:rFonts w:hint="eastAsia"/>
              </w:rPr>
              <w:t>该计划将塑料包装分为四种类型：</w:t>
            </w:r>
            <w:r w:rsidRPr="006860DE">
              <w:t xml:space="preserve"> </w:t>
            </w:r>
            <w:r w:rsidRPr="006860DE">
              <w:rPr>
                <w:rFonts w:hint="eastAsia"/>
              </w:rPr>
              <w:t>（</w:t>
            </w:r>
            <w:r w:rsidRPr="006860DE">
              <w:t>1</w:t>
            </w:r>
            <w:r w:rsidRPr="006860DE">
              <w:rPr>
                <w:rFonts w:hint="eastAsia"/>
              </w:rPr>
              <w:t>）硬质塑料；</w:t>
            </w:r>
            <w:r w:rsidRPr="006860DE">
              <w:t xml:space="preserve"> </w:t>
            </w:r>
            <w:r w:rsidRPr="006860DE">
              <w:rPr>
                <w:rFonts w:hint="eastAsia"/>
              </w:rPr>
              <w:t>（</w:t>
            </w:r>
            <w:r w:rsidRPr="006860DE">
              <w:t>2</w:t>
            </w:r>
            <w:r w:rsidRPr="006860DE">
              <w:rPr>
                <w:rFonts w:hint="eastAsia"/>
              </w:rPr>
              <w:t>）单层或多层软包装；</w:t>
            </w:r>
            <w:r w:rsidRPr="006860DE">
              <w:t xml:space="preserve"> </w:t>
            </w:r>
            <w:r w:rsidRPr="006860DE">
              <w:rPr>
                <w:rFonts w:hint="eastAsia"/>
              </w:rPr>
              <w:t>（</w:t>
            </w:r>
            <w:r w:rsidRPr="006860DE">
              <w:t>3</w:t>
            </w:r>
            <w:r w:rsidRPr="006860DE">
              <w:rPr>
                <w:rFonts w:hint="eastAsia"/>
              </w:rPr>
              <w:t>）至少一层塑料和至少一层塑料以材料的多层包装；</w:t>
            </w:r>
            <w:r w:rsidRPr="006860DE">
              <w:t xml:space="preserve"> </w:t>
            </w:r>
            <w:r w:rsidRPr="006860DE">
              <w:rPr>
                <w:rFonts w:hint="eastAsia"/>
              </w:rPr>
              <w:t>（</w:t>
            </w:r>
            <w:r w:rsidRPr="006860DE">
              <w:t>4</w:t>
            </w:r>
            <w:r w:rsidRPr="006860DE">
              <w:rPr>
                <w:rFonts w:hint="eastAsia"/>
              </w:rPr>
              <w:t>）标准可堆肥塑料板。每个类别和利益相关者的回收目标略有不同。</w:t>
            </w:r>
            <w:r w:rsidRPr="006860DE">
              <w:t xml:space="preserve"> </w:t>
            </w:r>
            <w:r w:rsidRPr="006860DE">
              <w:rPr>
                <w:rFonts w:hint="eastAsia"/>
              </w:rPr>
              <w:t>在同一修订通知中，</w:t>
            </w:r>
            <w:r w:rsidRPr="006860DE">
              <w:t>MoE</w:t>
            </w:r>
            <w:r w:rsidRPr="006860DE">
              <w:rPr>
                <w:rFonts w:hint="eastAsia"/>
              </w:rPr>
              <w:t>将一次性塑料禁令推迟到</w:t>
            </w:r>
            <w:r w:rsidRPr="006860DE">
              <w:t>2022</w:t>
            </w:r>
            <w:r w:rsidRPr="006860DE">
              <w:rPr>
                <w:rFonts w:hint="eastAsia"/>
              </w:rPr>
              <w:t>年</w:t>
            </w:r>
            <w:r w:rsidRPr="006860DE">
              <w:t>7</w:t>
            </w:r>
            <w:r w:rsidRPr="006860DE">
              <w:rPr>
                <w:rFonts w:hint="eastAsia"/>
              </w:rPr>
              <w:t>月</w:t>
            </w:r>
            <w:r w:rsidRPr="006860DE">
              <w:t>1</w:t>
            </w:r>
            <w:r w:rsidRPr="006860DE">
              <w:rPr>
                <w:rFonts w:hint="eastAsia"/>
              </w:rPr>
              <w:t>日。这项禁令原本打算在</w:t>
            </w:r>
            <w:r w:rsidRPr="006860DE">
              <w:t>2022</w:t>
            </w:r>
            <w:r w:rsidRPr="006860DE">
              <w:rPr>
                <w:rFonts w:hint="eastAsia"/>
              </w:rPr>
              <w:t>年</w:t>
            </w:r>
            <w:r w:rsidRPr="006860DE">
              <w:t>1</w:t>
            </w:r>
            <w:r w:rsidRPr="006860DE">
              <w:rPr>
                <w:rFonts w:hint="eastAsia"/>
              </w:rPr>
              <w:t>月</w:t>
            </w:r>
            <w:r w:rsidRPr="006860DE">
              <w:t>1</w:t>
            </w:r>
            <w:r w:rsidRPr="006860DE">
              <w:rPr>
                <w:rFonts w:hint="eastAsia"/>
              </w:rPr>
              <w:t>日实施。</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32</w:t>
            </w:r>
          </w:p>
        </w:tc>
        <w:tc>
          <w:tcPr>
            <w:tcW w:w="12223" w:type="dxa"/>
          </w:tcPr>
          <w:p w:rsidR="00B907F0" w:rsidRPr="00FD3865" w:rsidRDefault="00B907F0">
            <w:r w:rsidRPr="00FD3865">
              <w:rPr>
                <w:rFonts w:hint="eastAsia"/>
              </w:rPr>
              <w:t>印度发布进口乳铁蛋白相关规定。</w:t>
            </w:r>
            <w:r w:rsidRPr="00FD3865">
              <w:t>2022</w:t>
            </w:r>
            <w:r w:rsidRPr="00FD3865">
              <w:rPr>
                <w:rFonts w:hint="eastAsia"/>
              </w:rPr>
              <w:t>年</w:t>
            </w:r>
            <w:r w:rsidRPr="00FD3865">
              <w:t>4</w:t>
            </w:r>
            <w:r w:rsidRPr="00FD3865">
              <w:rPr>
                <w:rFonts w:hint="eastAsia"/>
              </w:rPr>
              <w:t>月</w:t>
            </w:r>
            <w:r w:rsidRPr="00FD3865">
              <w:t>4</w:t>
            </w:r>
            <w:r w:rsidRPr="00FD3865">
              <w:rPr>
                <w:rFonts w:hint="eastAsia"/>
              </w:rPr>
              <w:t>日，印度食品安全标准局（</w:t>
            </w:r>
            <w:r w:rsidRPr="00FD3865">
              <w:t>FSSAI</w:t>
            </w:r>
            <w:r w:rsidRPr="00FD3865">
              <w:rPr>
                <w:rFonts w:hint="eastAsia"/>
              </w:rPr>
              <w:t>）发布</w:t>
            </w:r>
            <w:r w:rsidRPr="00FD3865">
              <w:t>TIC-B04/1/2022-importS-FSSAI</w:t>
            </w:r>
            <w:r w:rsidRPr="00FD3865">
              <w:rPr>
                <w:rFonts w:hint="eastAsia"/>
              </w:rPr>
              <w:t>号文，对进口乳铁蛋白的检测样品做出规定。</w:t>
            </w:r>
            <w:r w:rsidRPr="00FD3865">
              <w:t xml:space="preserve"> </w:t>
            </w:r>
            <w:r w:rsidRPr="00FD3865">
              <w:rPr>
                <w:rFonts w:hint="eastAsia"/>
              </w:rPr>
              <w:t>根据印度《食品安全和标准（实验室和样品分析）条例》，乳铁蛋白属于“未规定的食品”，其样品数量应为</w:t>
            </w:r>
            <w:r w:rsidRPr="00FD3865">
              <w:t>500g</w:t>
            </w:r>
            <w:r w:rsidRPr="00FD3865">
              <w:rPr>
                <w:rFonts w:hint="eastAsia"/>
              </w:rPr>
              <w:t>。但因该产品价格昂贵，在一般环境中抽取样品会给企业增加成本，为降低相关企业成本，允许企业提供微型</w:t>
            </w:r>
            <w:r w:rsidRPr="00FD3865">
              <w:t>/</w:t>
            </w:r>
            <w:r w:rsidRPr="00FD3865">
              <w:rPr>
                <w:rFonts w:hint="eastAsia"/>
              </w:rPr>
              <w:t>代表性样品。</w:t>
            </w:r>
            <w:r w:rsidRPr="00FD3865">
              <w:t xml:space="preserve"> </w:t>
            </w:r>
            <w:r w:rsidRPr="00FD3865">
              <w:rPr>
                <w:rFonts w:hint="eastAsia"/>
              </w:rPr>
              <w:t>微型</w:t>
            </w:r>
            <w:r w:rsidRPr="00FD3865">
              <w:t>/</w:t>
            </w:r>
            <w:r w:rsidRPr="00FD3865">
              <w:rPr>
                <w:rFonts w:hint="eastAsia"/>
              </w:rPr>
              <w:t>代表性样品应满足：（</w:t>
            </w:r>
            <w:r w:rsidRPr="00FD3865">
              <w:t>1</w:t>
            </w:r>
            <w:r w:rsidRPr="00FD3865">
              <w:rPr>
                <w:rFonts w:hint="eastAsia"/>
              </w:rPr>
              <w:t>）至少</w:t>
            </w:r>
            <w:r w:rsidRPr="00FD3865">
              <w:t>50g</w:t>
            </w:r>
            <w:r w:rsidRPr="00FD3865">
              <w:rPr>
                <w:rFonts w:hint="eastAsia"/>
              </w:rPr>
              <w:t>微型</w:t>
            </w:r>
            <w:r w:rsidRPr="00FD3865">
              <w:t>/</w:t>
            </w:r>
            <w:r w:rsidRPr="00FD3865">
              <w:rPr>
                <w:rFonts w:hint="eastAsia"/>
              </w:rPr>
              <w:t>代表性样品，分成两份，每份</w:t>
            </w:r>
            <w:r w:rsidRPr="00FD3865">
              <w:t>25g</w:t>
            </w:r>
            <w:r w:rsidRPr="00FD3865">
              <w:rPr>
                <w:rFonts w:hint="eastAsia"/>
              </w:rPr>
              <w:t>；（</w:t>
            </w:r>
            <w:r w:rsidRPr="00FD3865">
              <w:t>2</w:t>
            </w:r>
            <w:r w:rsidRPr="00FD3865">
              <w:rPr>
                <w:rFonts w:hint="eastAsia"/>
              </w:rPr>
              <w:t>）提供出口国监管机构的证书，证明样品与进口货物属于同一批次。若企业不能提供微型</w:t>
            </w:r>
            <w:r w:rsidRPr="00FD3865">
              <w:t>/</w:t>
            </w:r>
            <w:r w:rsidRPr="00FD3865">
              <w:rPr>
                <w:rFonts w:hint="eastAsia"/>
              </w:rPr>
              <w:t>代表性样品，则应在无菌条件下抽取样品。</w:t>
            </w:r>
          </w:p>
        </w:tc>
      </w:tr>
      <w:tr w:rsidR="00B907F0" w:rsidTr="008E796A">
        <w:tc>
          <w:tcPr>
            <w:tcW w:w="1384" w:type="dxa"/>
            <w:vMerge w:val="restart"/>
            <w:vAlign w:val="center"/>
          </w:tcPr>
          <w:p w:rsidR="00B907F0" w:rsidRDefault="00B907F0" w:rsidP="008E796A">
            <w:pPr>
              <w:jc w:val="center"/>
            </w:pPr>
          </w:p>
          <w:p w:rsidR="00B907F0" w:rsidRDefault="00B907F0" w:rsidP="008E796A">
            <w:pPr>
              <w:jc w:val="center"/>
            </w:pPr>
          </w:p>
          <w:p w:rsidR="00B907F0" w:rsidRDefault="00B907F0" w:rsidP="008E796A">
            <w:pPr>
              <w:jc w:val="center"/>
            </w:pPr>
          </w:p>
          <w:p w:rsidR="00B907F0" w:rsidRPr="008E796A" w:rsidRDefault="00B907F0" w:rsidP="008E796A">
            <w:pPr>
              <w:jc w:val="center"/>
              <w:rPr>
                <w:b/>
              </w:rPr>
            </w:pPr>
          </w:p>
          <w:p w:rsidR="00B907F0" w:rsidRPr="008E796A" w:rsidRDefault="00B907F0" w:rsidP="008E796A">
            <w:pPr>
              <w:jc w:val="center"/>
              <w:rPr>
                <w:b/>
              </w:rPr>
            </w:pPr>
          </w:p>
          <w:p w:rsidR="00B907F0" w:rsidRPr="008E796A" w:rsidRDefault="00B907F0" w:rsidP="008E796A">
            <w:pPr>
              <w:jc w:val="center"/>
              <w:rPr>
                <w:b/>
              </w:rPr>
            </w:pPr>
          </w:p>
          <w:p w:rsidR="00B907F0" w:rsidRPr="008E796A" w:rsidRDefault="00B907F0" w:rsidP="008E796A">
            <w:pPr>
              <w:jc w:val="center"/>
              <w:rPr>
                <w:b/>
              </w:rPr>
            </w:pPr>
          </w:p>
          <w:p w:rsidR="00B907F0" w:rsidRPr="008E796A" w:rsidRDefault="00B907F0" w:rsidP="008E796A">
            <w:pPr>
              <w:jc w:val="center"/>
              <w:rPr>
                <w:b/>
              </w:rPr>
            </w:pPr>
            <w:r w:rsidRPr="008E796A">
              <w:rPr>
                <w:rFonts w:hint="eastAsia"/>
                <w:b/>
              </w:rPr>
              <w:t>泰国</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33</w:t>
            </w:r>
          </w:p>
        </w:tc>
        <w:tc>
          <w:tcPr>
            <w:tcW w:w="12223" w:type="dxa"/>
          </w:tcPr>
          <w:p w:rsidR="00B907F0" w:rsidRPr="00FD3865" w:rsidRDefault="00B907F0">
            <w:r w:rsidRPr="00FD3865">
              <w:rPr>
                <w:rFonts w:hint="eastAsia"/>
              </w:rPr>
              <w:t>泰国暂停从中国台北进口禽类。依据</w:t>
            </w:r>
            <w:r w:rsidRPr="00FD3865">
              <w:t>2021</w:t>
            </w:r>
            <w:r w:rsidRPr="00FD3865">
              <w:rPr>
                <w:rFonts w:hint="eastAsia"/>
              </w:rPr>
              <w:t>年</w:t>
            </w:r>
            <w:r w:rsidRPr="00FD3865">
              <w:t>11</w:t>
            </w:r>
            <w:r w:rsidRPr="00FD3865">
              <w:rPr>
                <w:rFonts w:hint="eastAsia"/>
              </w:rPr>
              <w:t>月</w:t>
            </w:r>
            <w:r w:rsidRPr="00FD3865">
              <w:t>18</w:t>
            </w:r>
            <w:r w:rsidRPr="00FD3865">
              <w:rPr>
                <w:rFonts w:hint="eastAsia"/>
              </w:rPr>
              <w:t>日公布的政府公报，暂停从中国台北进口活禽和禽类胴体的法令已于</w:t>
            </w:r>
            <w:r w:rsidRPr="00FD3865">
              <w:t>2022</w:t>
            </w:r>
            <w:r w:rsidRPr="00FD3865">
              <w:rPr>
                <w:rFonts w:hint="eastAsia"/>
              </w:rPr>
              <w:t>年</w:t>
            </w:r>
            <w:r w:rsidRPr="00FD3865">
              <w:t>2</w:t>
            </w:r>
            <w:r w:rsidRPr="00FD3865">
              <w:rPr>
                <w:rFonts w:hint="eastAsia"/>
              </w:rPr>
              <w:t>月</w:t>
            </w:r>
            <w:r w:rsidRPr="00FD3865">
              <w:t>15</w:t>
            </w:r>
            <w:r>
              <w:rPr>
                <w:rFonts w:hint="eastAsia"/>
              </w:rPr>
              <w:t>日到期。但是，世界动物卫生组织报告称在中国台北持续暴</w:t>
            </w:r>
            <w:r w:rsidRPr="00FD3865">
              <w:rPr>
                <w:rFonts w:hint="eastAsia"/>
              </w:rPr>
              <w:t>发高致病性禽流感（</w:t>
            </w:r>
            <w:r w:rsidRPr="00FD3865">
              <w:t>HPAI</w:t>
            </w:r>
            <w:r w:rsidRPr="00FD3865">
              <w:rPr>
                <w:rFonts w:hint="eastAsia"/>
              </w:rPr>
              <w:t>）（</w:t>
            </w:r>
            <w:r w:rsidRPr="00FD3865">
              <w:t>H5N5</w:t>
            </w:r>
            <w:r w:rsidRPr="00FD3865">
              <w:rPr>
                <w:rFonts w:hint="eastAsia"/>
              </w:rPr>
              <w:t>和</w:t>
            </w:r>
            <w:r w:rsidRPr="00FD3865">
              <w:t>H5N2</w:t>
            </w:r>
            <w:r w:rsidRPr="00FD3865">
              <w:rPr>
                <w:rFonts w:hint="eastAsia"/>
              </w:rPr>
              <w:t>亚型）。因此，泰国需要防止该流感流入本国。依据《动物防疫法》（</w:t>
            </w:r>
            <w:r w:rsidRPr="00FD3865">
              <w:t>B.E.2558</w:t>
            </w:r>
            <w:r w:rsidRPr="00FD3865">
              <w:rPr>
                <w:rFonts w:hint="eastAsia"/>
              </w:rPr>
              <w:t>（</w:t>
            </w:r>
            <w:r w:rsidRPr="00FD3865">
              <w:t>2015</w:t>
            </w:r>
            <w:r w:rsidRPr="00FD3865">
              <w:rPr>
                <w:rFonts w:hint="eastAsia"/>
              </w:rPr>
              <w:t>）），自《泰国皇家公报》公布（</w:t>
            </w:r>
            <w:r w:rsidRPr="00FD3865">
              <w:t>2022</w:t>
            </w:r>
            <w:r w:rsidRPr="00FD3865">
              <w:rPr>
                <w:rFonts w:hint="eastAsia"/>
              </w:rPr>
              <w:t>年</w:t>
            </w:r>
            <w:r w:rsidRPr="00FD3865">
              <w:t>2</w:t>
            </w:r>
            <w:r w:rsidRPr="00FD3865">
              <w:rPr>
                <w:rFonts w:hint="eastAsia"/>
              </w:rPr>
              <w:t>月</w:t>
            </w:r>
            <w:r w:rsidRPr="00FD3865">
              <w:t>16</w:t>
            </w:r>
            <w:r w:rsidRPr="00FD3865">
              <w:rPr>
                <w:rFonts w:hint="eastAsia"/>
              </w:rPr>
              <w:t>日）后</w:t>
            </w:r>
            <w:r w:rsidRPr="00FD3865">
              <w:t>90</w:t>
            </w:r>
            <w:r w:rsidRPr="00FD3865">
              <w:rPr>
                <w:rFonts w:hint="eastAsia"/>
              </w:rPr>
              <w:t>天内暂停从中国台北进口活禽和禽类胴体，经畜牧发展部批准的设施处理过的羽毛和羽绒以及为确保销毁世界动物卫生组织《陆生动物卫生法典》</w:t>
            </w:r>
            <w:r w:rsidRPr="00FD3865">
              <w:t>10.4.22</w:t>
            </w:r>
            <w:r w:rsidRPr="00FD3865">
              <w:rPr>
                <w:rFonts w:hint="eastAsia"/>
              </w:rPr>
              <w:t>和</w:t>
            </w:r>
            <w:r w:rsidRPr="00FD3865">
              <w:t>10.4.23</w:t>
            </w:r>
            <w:r w:rsidRPr="00FD3865">
              <w:rPr>
                <w:rFonts w:hint="eastAsia"/>
              </w:rPr>
              <w:t>所建议的禽流感病毒而经过加工的商品除外，具体所采用的加工方法如下所示：</w:t>
            </w:r>
            <w:r w:rsidRPr="00FD3865">
              <w:t xml:space="preserve"> </w:t>
            </w:r>
            <w:r w:rsidRPr="00FD3865">
              <w:rPr>
                <w:rFonts w:ascii="宋体" w:hAnsi="宋体" w:cs="宋体" w:hint="eastAsia"/>
              </w:rPr>
              <w:t></w:t>
            </w:r>
            <w:r w:rsidRPr="00FD3865">
              <w:rPr>
                <w:rFonts w:hint="eastAsia"/>
              </w:rPr>
              <w:t>在</w:t>
            </w:r>
            <w:r w:rsidRPr="00FD3865">
              <w:t>100</w:t>
            </w:r>
            <w:r w:rsidRPr="00FD3865">
              <w:rPr>
                <w:rFonts w:hint="eastAsia"/>
              </w:rPr>
              <w:t>℃下洗涤和蒸汽烘干</w:t>
            </w:r>
            <w:r w:rsidRPr="00FD3865">
              <w:t>30</w:t>
            </w:r>
            <w:r w:rsidRPr="00FD3865">
              <w:rPr>
                <w:rFonts w:hint="eastAsia"/>
              </w:rPr>
              <w:t>分钟；</w:t>
            </w:r>
            <w:r w:rsidRPr="00FD3865">
              <w:t xml:space="preserve"> </w:t>
            </w:r>
            <w:r w:rsidRPr="00FD3865">
              <w:rPr>
                <w:rFonts w:ascii="宋体" w:hAnsi="宋体" w:cs="宋体" w:hint="eastAsia"/>
              </w:rPr>
              <w:t></w:t>
            </w:r>
            <w:r w:rsidRPr="00FD3865">
              <w:rPr>
                <w:rFonts w:hint="eastAsia"/>
              </w:rPr>
              <w:t>福尔马林（含</w:t>
            </w:r>
            <w:r w:rsidRPr="00FD3865">
              <w:t>10%</w:t>
            </w:r>
            <w:r w:rsidRPr="00FD3865">
              <w:rPr>
                <w:rFonts w:hint="eastAsia"/>
              </w:rPr>
              <w:t>甲醛）熏蒸</w:t>
            </w:r>
            <w:r w:rsidRPr="00FD3865">
              <w:t>8</w:t>
            </w:r>
            <w:r w:rsidRPr="00FD3865">
              <w:rPr>
                <w:rFonts w:hint="eastAsia"/>
              </w:rPr>
              <w:t>小时；</w:t>
            </w:r>
            <w:r w:rsidRPr="00FD3865">
              <w:t xml:space="preserve"> 20</w:t>
            </w:r>
            <w:r w:rsidRPr="00FD3865">
              <w:rPr>
                <w:rFonts w:hint="eastAsia"/>
              </w:rPr>
              <w:t>千戈瑞剂量下照射。</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34</w:t>
            </w:r>
          </w:p>
        </w:tc>
        <w:tc>
          <w:tcPr>
            <w:tcW w:w="12223" w:type="dxa"/>
          </w:tcPr>
          <w:p w:rsidR="00B907F0" w:rsidRPr="00FD3865" w:rsidRDefault="00B907F0">
            <w:r w:rsidRPr="00FD3865">
              <w:rPr>
                <w:rFonts w:hint="eastAsia"/>
              </w:rPr>
              <w:t>泰国暂停从保加利亚、中国、韩国、越南、缅甸、菲律宾、印度尼西亚、波兰进口猪及其胴体。依据</w:t>
            </w:r>
            <w:r w:rsidRPr="00FD3865">
              <w:t>2021</w:t>
            </w:r>
            <w:r w:rsidRPr="00FD3865">
              <w:rPr>
                <w:rFonts w:hint="eastAsia"/>
              </w:rPr>
              <w:t>年</w:t>
            </w:r>
            <w:r w:rsidRPr="00FD3865">
              <w:t>11</w:t>
            </w:r>
            <w:r w:rsidRPr="00FD3865">
              <w:rPr>
                <w:rFonts w:hint="eastAsia"/>
              </w:rPr>
              <w:t>月</w:t>
            </w:r>
            <w:r w:rsidRPr="00FD3865">
              <w:t>18</w:t>
            </w:r>
            <w:r w:rsidRPr="00FD3865">
              <w:rPr>
                <w:rFonts w:hint="eastAsia"/>
              </w:rPr>
              <w:t>日政府公报，暂停从以上国家进口活家猪和野猪及其胴体的法令已于</w:t>
            </w:r>
            <w:r w:rsidRPr="00FD3865">
              <w:t>2022</w:t>
            </w:r>
            <w:r w:rsidRPr="00FD3865">
              <w:rPr>
                <w:rFonts w:hint="eastAsia"/>
              </w:rPr>
              <w:t>年</w:t>
            </w:r>
            <w:r w:rsidRPr="00FD3865">
              <w:t>2</w:t>
            </w:r>
            <w:r w:rsidRPr="00FD3865">
              <w:rPr>
                <w:rFonts w:hint="eastAsia"/>
              </w:rPr>
              <w:t>月</w:t>
            </w:r>
            <w:r w:rsidRPr="00FD3865">
              <w:t>15</w:t>
            </w:r>
            <w:r>
              <w:rPr>
                <w:rFonts w:hint="eastAsia"/>
              </w:rPr>
              <w:t>日到期。但是，世界动物卫生组织报告称以上国家仍持续暴</w:t>
            </w:r>
            <w:r w:rsidRPr="00FD3865">
              <w:rPr>
                <w:rFonts w:hint="eastAsia"/>
              </w:rPr>
              <w:t>发非洲猪瘟。因此，泰国需要防止非洲猪瘟流入本国。依据《动物防疫法》（</w:t>
            </w:r>
            <w:r w:rsidRPr="00FD3865">
              <w:t>B.E.2558</w:t>
            </w:r>
            <w:r w:rsidRPr="00FD3865">
              <w:rPr>
                <w:rFonts w:hint="eastAsia"/>
              </w:rPr>
              <w:t>（</w:t>
            </w:r>
            <w:r w:rsidRPr="00FD3865">
              <w:t>2015</w:t>
            </w:r>
            <w:r w:rsidRPr="00FD3865">
              <w:rPr>
                <w:rFonts w:hint="eastAsia"/>
              </w:rPr>
              <w:t>）），自《泰国皇家公报》公布（</w:t>
            </w:r>
            <w:r w:rsidRPr="00FD3865">
              <w:t>2022</w:t>
            </w:r>
            <w:r w:rsidRPr="00FD3865">
              <w:rPr>
                <w:rFonts w:hint="eastAsia"/>
              </w:rPr>
              <w:t>年</w:t>
            </w:r>
            <w:r w:rsidRPr="00FD3865">
              <w:t>2</w:t>
            </w:r>
            <w:r w:rsidRPr="00FD3865">
              <w:rPr>
                <w:rFonts w:hint="eastAsia"/>
              </w:rPr>
              <w:t>月</w:t>
            </w:r>
            <w:r w:rsidRPr="00FD3865">
              <w:t>16</w:t>
            </w:r>
            <w:r w:rsidRPr="00FD3865">
              <w:rPr>
                <w:rFonts w:hint="eastAsia"/>
              </w:rPr>
              <w:t>日）后</w:t>
            </w:r>
            <w:r w:rsidRPr="00FD3865">
              <w:t>90</w:t>
            </w:r>
            <w:r w:rsidRPr="00FD3865">
              <w:rPr>
                <w:rFonts w:hint="eastAsia"/>
              </w:rPr>
              <w:t>天内暂停从中国进口活家猪和野猪及其胴体。</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35</w:t>
            </w:r>
          </w:p>
        </w:tc>
        <w:tc>
          <w:tcPr>
            <w:tcW w:w="12223" w:type="dxa"/>
          </w:tcPr>
          <w:p w:rsidR="00B907F0" w:rsidRPr="00FD3865" w:rsidRDefault="00B907F0">
            <w:r w:rsidRPr="00FD3865">
              <w:rPr>
                <w:rFonts w:hint="eastAsia"/>
              </w:rPr>
              <w:t>泰国修订食品加工用酶的通报。自依据食品法（</w:t>
            </w:r>
            <w:r w:rsidRPr="00FD3865">
              <w:t>B.E.2522</w:t>
            </w:r>
            <w:r w:rsidRPr="00FD3865">
              <w:rPr>
                <w:rFonts w:hint="eastAsia"/>
              </w:rPr>
              <w:t>）发布第</w:t>
            </w:r>
            <w:r w:rsidRPr="00FD3865">
              <w:t>409</w:t>
            </w:r>
            <w:r w:rsidRPr="00FD3865">
              <w:rPr>
                <w:rFonts w:hint="eastAsia"/>
              </w:rPr>
              <w:t>号</w:t>
            </w:r>
            <w:r w:rsidRPr="00FD3865">
              <w:t>MOPH</w:t>
            </w:r>
            <w:r w:rsidRPr="00FD3865">
              <w:rPr>
                <w:rFonts w:hint="eastAsia"/>
              </w:rPr>
              <w:t>通报（</w:t>
            </w:r>
            <w:r w:rsidRPr="00FD3865">
              <w:t>BE.2562</w:t>
            </w:r>
            <w:r w:rsidRPr="00FD3865">
              <w:rPr>
                <w:rFonts w:hint="eastAsia"/>
              </w:rPr>
              <w:t>）“食品加工用酶”以来，在该通报的应用过程中发现了一些模糊之处。为了澄清此类模糊之处，需修订该</w:t>
            </w:r>
            <w:r w:rsidRPr="00FD3865">
              <w:t>MOPH</w:t>
            </w:r>
            <w:r w:rsidRPr="00FD3865">
              <w:rPr>
                <w:rFonts w:hint="eastAsia"/>
              </w:rPr>
              <w:t>通报。依据食品法（</w:t>
            </w:r>
            <w:r w:rsidRPr="00FD3865">
              <w:t>B.E.2522</w:t>
            </w:r>
            <w:r w:rsidRPr="00FD3865">
              <w:rPr>
                <w:rFonts w:hint="eastAsia"/>
              </w:rPr>
              <w:t>）第</w:t>
            </w:r>
            <w:r w:rsidRPr="00FD3865">
              <w:t>5</w:t>
            </w:r>
            <w:r w:rsidRPr="00FD3865">
              <w:rPr>
                <w:rFonts w:hint="eastAsia"/>
              </w:rPr>
              <w:t>条和第</w:t>
            </w:r>
            <w:r w:rsidRPr="00FD3865">
              <w:t>6</w:t>
            </w:r>
            <w:r w:rsidRPr="00FD3865">
              <w:rPr>
                <w:rFonts w:hint="eastAsia"/>
              </w:rPr>
              <w:t>（</w:t>
            </w:r>
            <w:r w:rsidRPr="00FD3865">
              <w:t>6</w:t>
            </w:r>
            <w:r w:rsidRPr="00FD3865">
              <w:rPr>
                <w:rFonts w:hint="eastAsia"/>
              </w:rPr>
              <w:t>）条规定，</w:t>
            </w:r>
            <w:r w:rsidRPr="00FD3865">
              <w:t>MOPH</w:t>
            </w:r>
            <w:r w:rsidRPr="00FD3865">
              <w:rPr>
                <w:rFonts w:hint="eastAsia"/>
              </w:rPr>
              <w:t>已发布以下通报（草案）：</w:t>
            </w:r>
            <w:r w:rsidRPr="00FD3865">
              <w:t xml:space="preserve">1. </w:t>
            </w:r>
            <w:r w:rsidRPr="00FD3865">
              <w:rPr>
                <w:rFonts w:hint="eastAsia"/>
              </w:rPr>
              <w:t>依据食品法（</w:t>
            </w:r>
            <w:r w:rsidRPr="00FD3865">
              <w:t>B.E. 2522</w:t>
            </w:r>
            <w:r w:rsidRPr="00FD3865">
              <w:rPr>
                <w:rFonts w:hint="eastAsia"/>
              </w:rPr>
              <w:t>）于</w:t>
            </w:r>
            <w:r w:rsidRPr="00FD3865">
              <w:t>7</w:t>
            </w:r>
            <w:r w:rsidRPr="00FD3865">
              <w:rPr>
                <w:rFonts w:hint="eastAsia"/>
              </w:rPr>
              <w:t>月</w:t>
            </w:r>
            <w:r w:rsidRPr="00FD3865">
              <w:t>9</w:t>
            </w:r>
            <w:r w:rsidRPr="00FD3865">
              <w:rPr>
                <w:rFonts w:hint="eastAsia"/>
              </w:rPr>
              <w:t>日发布的第</w:t>
            </w:r>
            <w:r w:rsidRPr="00FD3865">
              <w:t>409</w:t>
            </w:r>
            <w:r w:rsidRPr="00FD3865">
              <w:rPr>
                <w:rFonts w:hint="eastAsia"/>
              </w:rPr>
              <w:t>号</w:t>
            </w:r>
            <w:r w:rsidRPr="00FD3865">
              <w:t>MOPH</w:t>
            </w:r>
            <w:r w:rsidRPr="00FD3865">
              <w:rPr>
                <w:rFonts w:hint="eastAsia"/>
              </w:rPr>
              <w:t>通报（</w:t>
            </w:r>
            <w:r w:rsidRPr="00FD3865">
              <w:t>BE.2562</w:t>
            </w:r>
            <w:r w:rsidRPr="00FD3865">
              <w:rPr>
                <w:rFonts w:hint="eastAsia"/>
              </w:rPr>
              <w:t>）“食品加工用酶”将被废止并替换为该</w:t>
            </w:r>
            <w:r w:rsidRPr="00FD3865">
              <w:t>MOPH</w:t>
            </w:r>
            <w:r w:rsidRPr="00FD3865">
              <w:rPr>
                <w:rFonts w:hint="eastAsia"/>
              </w:rPr>
              <w:t>通报草案。</w:t>
            </w:r>
            <w:r w:rsidRPr="00FD3865">
              <w:t xml:space="preserve">2. </w:t>
            </w:r>
            <w:r w:rsidRPr="00FD3865">
              <w:rPr>
                <w:rFonts w:hint="eastAsia"/>
              </w:rPr>
              <w:t>依据第</w:t>
            </w:r>
            <w:r w:rsidRPr="00FD3865">
              <w:t>409</w:t>
            </w:r>
            <w:r w:rsidRPr="00FD3865">
              <w:rPr>
                <w:rFonts w:hint="eastAsia"/>
              </w:rPr>
              <w:t>号</w:t>
            </w:r>
            <w:r w:rsidRPr="00FD3865">
              <w:t>MOPH</w:t>
            </w:r>
            <w:r w:rsidRPr="00FD3865">
              <w:rPr>
                <w:rFonts w:hint="eastAsia"/>
              </w:rPr>
              <w:t>通报（</w:t>
            </w:r>
            <w:r w:rsidRPr="00FD3865">
              <w:t>BE.2562</w:t>
            </w:r>
            <w:r w:rsidRPr="00FD3865">
              <w:rPr>
                <w:rFonts w:hint="eastAsia"/>
              </w:rPr>
              <w:t>），该</w:t>
            </w:r>
            <w:r w:rsidRPr="00FD3865">
              <w:t>MOPH</w:t>
            </w:r>
            <w:r w:rsidRPr="00FD3865">
              <w:rPr>
                <w:rFonts w:hint="eastAsia"/>
              </w:rPr>
              <w:t>通报草案规定了某些要求：</w:t>
            </w:r>
            <w:r w:rsidRPr="00FD3865">
              <w:t xml:space="preserve">2.1 </w:t>
            </w:r>
            <w:r w:rsidRPr="00FD3865">
              <w:rPr>
                <w:rFonts w:hint="eastAsia"/>
              </w:rPr>
              <w:t>食品酶通用规范添加同霉菌毒素和新型</w:t>
            </w:r>
            <w:r w:rsidRPr="00FD3865">
              <w:t>DNA</w:t>
            </w:r>
            <w:r w:rsidRPr="00FD3865">
              <w:rPr>
                <w:rFonts w:hint="eastAsia"/>
              </w:rPr>
              <w:t>相关的要求：·</w:t>
            </w:r>
            <w:r w:rsidRPr="00FD3865">
              <w:t xml:space="preserve"> </w:t>
            </w:r>
            <w:r w:rsidRPr="00FD3865">
              <w:rPr>
                <w:rFonts w:hint="eastAsia"/>
              </w:rPr>
              <w:t>对于通过真菌生产的食品酶，不得检测出霉菌毒素。·</w:t>
            </w:r>
            <w:r w:rsidRPr="00FD3865">
              <w:t xml:space="preserve"> </w:t>
            </w:r>
            <w:r w:rsidRPr="00FD3865">
              <w:rPr>
                <w:rFonts w:hint="eastAsia"/>
              </w:rPr>
              <w:t>对于通过转基因生物生产的食品酶，不得检测出使用基因技术产生的新型</w:t>
            </w:r>
            <w:r w:rsidRPr="00FD3865">
              <w:t>DNA</w:t>
            </w:r>
            <w:r w:rsidRPr="00FD3865">
              <w:rPr>
                <w:rFonts w:hint="eastAsia"/>
              </w:rPr>
              <w:t>或基因材料。</w:t>
            </w:r>
            <w:r w:rsidRPr="00FD3865">
              <w:t xml:space="preserve">2.2 </w:t>
            </w:r>
            <w:r w:rsidRPr="00FD3865">
              <w:rPr>
                <w:rFonts w:hint="eastAsia"/>
              </w:rPr>
              <w:t>固定酶使用的材料不得向食品中释放毒性物质，参考</w:t>
            </w:r>
            <w:r w:rsidRPr="00FD3865">
              <w:t>MOPH</w:t>
            </w:r>
            <w:r w:rsidRPr="00FD3865">
              <w:rPr>
                <w:rFonts w:hint="eastAsia"/>
              </w:rPr>
              <w:t>塑料食品包装通报规定的释放限制。</w:t>
            </w:r>
            <w:r w:rsidRPr="00FD3865">
              <w:t xml:space="preserve">2.3 </w:t>
            </w:r>
            <w:r w:rsidRPr="00FD3865">
              <w:rPr>
                <w:rFonts w:hint="eastAsia"/>
              </w:rPr>
              <w:t>酶、酶的来源、功能和使用条件进行修订，参见附件一。</w:t>
            </w:r>
            <w:r w:rsidRPr="00FD3865">
              <w:t xml:space="preserve">2.4 </w:t>
            </w:r>
            <w:r w:rsidRPr="00FD3865">
              <w:rPr>
                <w:rFonts w:hint="eastAsia"/>
              </w:rPr>
              <w:t>附件四用于酶制剂的食品添加剂是二氧化硅、山梨醇糖浆和山梨糖醇液。</w:t>
            </w:r>
            <w:r w:rsidRPr="00FD3865">
              <w:t xml:space="preserve">2.5 </w:t>
            </w:r>
            <w:r w:rsidRPr="00FD3865">
              <w:rPr>
                <w:rFonts w:hint="eastAsia"/>
              </w:rPr>
              <w:t>食品添加剂和加工助剂生产使用的酶同样未包含在该</w:t>
            </w:r>
            <w:r w:rsidRPr="00FD3865">
              <w:t>MOPH</w:t>
            </w:r>
            <w:r w:rsidRPr="00FD3865">
              <w:rPr>
                <w:rFonts w:hint="eastAsia"/>
              </w:rPr>
              <w:t>通报草案中。</w:t>
            </w:r>
            <w:r w:rsidRPr="00FD3865">
              <w:t xml:space="preserve">3. </w:t>
            </w:r>
            <w:r w:rsidRPr="00FD3865">
              <w:rPr>
                <w:rFonts w:hint="eastAsia"/>
              </w:rPr>
              <w:t>该通报应自政府公报发布日期后开始生效。该规定按</w:t>
            </w:r>
            <w:r w:rsidRPr="00FD3865">
              <w:t>SPS</w:t>
            </w:r>
            <w:r w:rsidRPr="00FD3865">
              <w:rPr>
                <w:rFonts w:hint="eastAsia"/>
              </w:rPr>
              <w:t>通报进行通告。</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36</w:t>
            </w:r>
          </w:p>
        </w:tc>
        <w:tc>
          <w:tcPr>
            <w:tcW w:w="12223" w:type="dxa"/>
          </w:tcPr>
          <w:p w:rsidR="00B907F0" w:rsidRPr="00FD3865" w:rsidRDefault="00B907F0">
            <w:r w:rsidRPr="00FD3865">
              <w:rPr>
                <w:rFonts w:hint="eastAsia"/>
              </w:rPr>
              <w:t>泰国将</w:t>
            </w:r>
            <w:r w:rsidRPr="00FD3865">
              <w:t>UV-C</w:t>
            </w:r>
            <w:r w:rsidRPr="00FD3865">
              <w:rPr>
                <w:rFonts w:hint="eastAsia"/>
              </w:rPr>
              <w:t>辐射产品归入标识管控产品。</w:t>
            </w:r>
            <w:r w:rsidRPr="00FD3865">
              <w:t>UV-C</w:t>
            </w:r>
            <w:r w:rsidRPr="00FD3865">
              <w:rPr>
                <w:rFonts w:hint="eastAsia"/>
              </w:rPr>
              <w:t>辐射产品应归入标识管控产品。标签应通过适当方式（不得引起误解）注明产品的声明、数值、人工标志或图片，标签应清晰易读，使用泰语或者在泰语旁边随附外语。该规定项下的</w:t>
            </w:r>
            <w:r w:rsidRPr="00FD3865">
              <w:t>UV-C</w:t>
            </w:r>
            <w:r w:rsidRPr="00FD3865">
              <w:rPr>
                <w:rFonts w:hint="eastAsia"/>
              </w:rPr>
              <w:t>辐射产品指通过发射</w:t>
            </w:r>
            <w:r w:rsidRPr="00FD3865">
              <w:t>C</w:t>
            </w:r>
            <w:r w:rsidRPr="00FD3865">
              <w:rPr>
                <w:rFonts w:hint="eastAsia"/>
              </w:rPr>
              <w:t>波段紫外辐射抑制或杀灭病毒、真菌、细菌、尘螨或其他病菌的产品、设备或其他装置，包括不属于医疗器械但具备相同功能的装置。</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37</w:t>
            </w:r>
          </w:p>
        </w:tc>
        <w:tc>
          <w:tcPr>
            <w:tcW w:w="12223" w:type="dxa"/>
          </w:tcPr>
          <w:p w:rsidR="00B907F0" w:rsidRPr="00FD3865" w:rsidRDefault="00B907F0">
            <w:r w:rsidRPr="00FD3865">
              <w:rPr>
                <w:rFonts w:hint="eastAsia"/>
              </w:rPr>
              <w:t>泰国规定数字地面电视接收机技术标准。该技术规范草案（</w:t>
            </w:r>
            <w:r w:rsidRPr="00FD3865">
              <w:t>NBTC TS 4002-2565</w:t>
            </w:r>
            <w:r w:rsidRPr="00FD3865">
              <w:rPr>
                <w:rFonts w:hint="eastAsia"/>
              </w:rPr>
              <w:t>）（替代</w:t>
            </w:r>
            <w:r w:rsidRPr="00FD3865">
              <w:t>NBTC TS 4002-2560</w:t>
            </w:r>
            <w:r w:rsidRPr="00FD3865">
              <w:rPr>
                <w:rFonts w:hint="eastAsia"/>
              </w:rPr>
              <w:t>）规定了能够接收</w:t>
            </w:r>
            <w:r w:rsidRPr="00FD3865">
              <w:t>DVB-T2</w:t>
            </w:r>
            <w:r w:rsidRPr="00FD3865">
              <w:rPr>
                <w:rFonts w:hint="eastAsia"/>
              </w:rPr>
              <w:t>系统数字电视信号的数字地面电视接收机的最低技术规范。该技术规范草案包括以下类型的接收机：（</w:t>
            </w:r>
            <w:r w:rsidRPr="00FD3865">
              <w:t>i</w:t>
            </w:r>
            <w:r w:rsidRPr="00FD3865">
              <w:rPr>
                <w:rFonts w:hint="eastAsia"/>
              </w:rPr>
              <w:t>）</w:t>
            </w:r>
            <w:r w:rsidRPr="00FD3865">
              <w:t xml:space="preserve"> </w:t>
            </w:r>
            <w:r w:rsidRPr="00FD3865">
              <w:rPr>
                <w:rFonts w:hint="eastAsia"/>
              </w:rPr>
              <w:t>集成数字电视（</w:t>
            </w:r>
            <w:r w:rsidRPr="00FD3865">
              <w:t>iDTV</w:t>
            </w:r>
            <w:r w:rsidRPr="00FD3865">
              <w:rPr>
                <w:rFonts w:hint="eastAsia"/>
              </w:rPr>
              <w:t>）（</w:t>
            </w:r>
            <w:r w:rsidRPr="00FD3865">
              <w:t>ii</w:t>
            </w:r>
            <w:r w:rsidRPr="00FD3865">
              <w:rPr>
                <w:rFonts w:hint="eastAsia"/>
              </w:rPr>
              <w:t>）机顶盒；（</w:t>
            </w:r>
            <w:r w:rsidRPr="00FD3865">
              <w:t>iii</w:t>
            </w:r>
            <w:r w:rsidRPr="00FD3865">
              <w:rPr>
                <w:rFonts w:hint="eastAsia"/>
              </w:rPr>
              <w:t>）</w:t>
            </w:r>
            <w:r w:rsidRPr="00FD3865">
              <w:t xml:space="preserve"> </w:t>
            </w:r>
            <w:r w:rsidRPr="00FD3865">
              <w:rPr>
                <w:rFonts w:hint="eastAsia"/>
              </w:rPr>
              <w:t>便携式</w:t>
            </w:r>
            <w:r w:rsidRPr="00FD3865">
              <w:t>/</w:t>
            </w:r>
            <w:r w:rsidRPr="00FD3865">
              <w:rPr>
                <w:rFonts w:hint="eastAsia"/>
              </w:rPr>
              <w:t>移动式接收机；（</w:t>
            </w:r>
            <w:r w:rsidRPr="00FD3865">
              <w:t>iv</w:t>
            </w:r>
            <w:r w:rsidRPr="00FD3865">
              <w:rPr>
                <w:rFonts w:hint="eastAsia"/>
              </w:rPr>
              <w:t>）</w:t>
            </w:r>
            <w:r w:rsidRPr="00FD3865">
              <w:t xml:space="preserve"> </w:t>
            </w:r>
            <w:r w:rsidRPr="00FD3865">
              <w:rPr>
                <w:rFonts w:hint="eastAsia"/>
              </w:rPr>
              <w:t>车载接收机；以及（</w:t>
            </w:r>
            <w:r w:rsidRPr="00FD3865">
              <w:t>v</w:t>
            </w:r>
            <w:r w:rsidRPr="00FD3865">
              <w:rPr>
                <w:rFonts w:hint="eastAsia"/>
              </w:rPr>
              <w:t>）</w:t>
            </w:r>
            <w:r w:rsidRPr="00FD3865">
              <w:t xml:space="preserve"> </w:t>
            </w:r>
            <w:r w:rsidRPr="00FD3865">
              <w:rPr>
                <w:rFonts w:hint="eastAsia"/>
              </w:rPr>
              <w:t>未连接电源的其他接收机。非独立式接收机（比如加密狗或</w:t>
            </w:r>
            <w:r w:rsidRPr="00FD3865">
              <w:t>PCI</w:t>
            </w:r>
            <w:r w:rsidRPr="00FD3865">
              <w:rPr>
                <w:rFonts w:hint="eastAsia"/>
              </w:rPr>
              <w:t>卡）不在该技术规范的适用范围内。</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38</w:t>
            </w:r>
          </w:p>
        </w:tc>
        <w:tc>
          <w:tcPr>
            <w:tcW w:w="12223" w:type="dxa"/>
          </w:tcPr>
          <w:p w:rsidR="00B907F0" w:rsidRPr="00FD3865" w:rsidRDefault="00B907F0">
            <w:r w:rsidRPr="00FD3865">
              <w:rPr>
                <w:rFonts w:hint="eastAsia"/>
              </w:rPr>
              <w:t>泰国修订《危险物质法》项下的危险物质清单。该通报草案旨在修订《危险物质法》项下的危险物质清单。该拟定清单对工业部危险物质清单（</w:t>
            </w:r>
            <w:r w:rsidRPr="00FD3865">
              <w:t>B.E. 2556</w:t>
            </w:r>
            <w:r w:rsidRPr="00FD3865">
              <w:rPr>
                <w:rFonts w:hint="eastAsia"/>
              </w:rPr>
              <w:t>，</w:t>
            </w:r>
            <w:r w:rsidRPr="00FD3865">
              <w:t>2013</w:t>
            </w:r>
            <w:r w:rsidRPr="00FD3865">
              <w:rPr>
                <w:rFonts w:hint="eastAsia"/>
              </w:rPr>
              <w:t>）通报及其最新修订（</w:t>
            </w:r>
            <w:r w:rsidRPr="00FD3865">
              <w:t>B.E.2563</w:t>
            </w:r>
            <w:r w:rsidRPr="00FD3865">
              <w:rPr>
                <w:rFonts w:hint="eastAsia"/>
              </w:rPr>
              <w:t>，</w:t>
            </w:r>
            <w:r w:rsidRPr="00FD3865">
              <w:t>2020</w:t>
            </w:r>
            <w:r w:rsidRPr="00FD3865">
              <w:rPr>
                <w:rFonts w:hint="eastAsia"/>
              </w:rPr>
              <w:t>）随附的危险物质清单进行修订和添加。总结如下。</w:t>
            </w:r>
            <w:r w:rsidRPr="00FD3865">
              <w:t xml:space="preserve">1. </w:t>
            </w:r>
            <w:r w:rsidRPr="00FD3865">
              <w:rPr>
                <w:rFonts w:hint="eastAsia"/>
              </w:rPr>
              <w:t>工业工程司（</w:t>
            </w:r>
            <w:r w:rsidRPr="00FD3865">
              <w:t>DIW</w:t>
            </w:r>
            <w:r w:rsidRPr="00FD3865">
              <w:rPr>
                <w:rFonts w:hint="eastAsia"/>
              </w:rPr>
              <w:t>）计划对清单</w:t>
            </w:r>
            <w:r w:rsidRPr="00FD3865">
              <w:t>5.1</w:t>
            </w:r>
            <w:r w:rsidRPr="00FD3865">
              <w:rPr>
                <w:rFonts w:hint="eastAsia"/>
              </w:rPr>
              <w:t>中</w:t>
            </w:r>
            <w:r w:rsidRPr="00FD3865">
              <w:t>2</w:t>
            </w:r>
            <w:r w:rsidRPr="00FD3865">
              <w:rPr>
                <w:rFonts w:hint="eastAsia"/>
              </w:rPr>
              <w:t>个条目的管控要求作出以下修订。（</w:t>
            </w:r>
            <w:r w:rsidRPr="00FD3865">
              <w:t>1</w:t>
            </w:r>
            <w:r w:rsidRPr="00FD3865">
              <w:rPr>
                <w:rFonts w:hint="eastAsia"/>
              </w:rPr>
              <w:t>）</w:t>
            </w:r>
            <w:r w:rsidRPr="00FD3865">
              <w:t xml:space="preserve"> </w:t>
            </w:r>
            <w:r w:rsidRPr="00FD3865">
              <w:rPr>
                <w:rFonts w:hint="eastAsia"/>
              </w:rPr>
              <w:t>条目</w:t>
            </w:r>
            <w:r w:rsidRPr="00FD3865">
              <w:t xml:space="preserve">202 </w:t>
            </w:r>
            <w:r w:rsidRPr="00FD3865">
              <w:rPr>
                <w:rFonts w:hint="eastAsia"/>
              </w:rPr>
              <w:t>三乙醇胺，添加该化学品的管控要求。要求为“仅限浓度</w:t>
            </w:r>
            <w:r w:rsidRPr="00FD3865">
              <w:t>&gt;30% w/w</w:t>
            </w:r>
            <w:r w:rsidRPr="00FD3865">
              <w:rPr>
                <w:rFonts w:hint="eastAsia"/>
              </w:rPr>
              <w:t>”。（</w:t>
            </w:r>
            <w:r w:rsidRPr="00FD3865">
              <w:t>2</w:t>
            </w:r>
            <w:r w:rsidRPr="00FD3865">
              <w:rPr>
                <w:rFonts w:hint="eastAsia"/>
              </w:rPr>
              <w:t>）</w:t>
            </w:r>
            <w:r w:rsidRPr="00FD3865">
              <w:t xml:space="preserve"> </w:t>
            </w:r>
            <w:r w:rsidRPr="00FD3865">
              <w:rPr>
                <w:rFonts w:hint="eastAsia"/>
              </w:rPr>
              <w:t>条目</w:t>
            </w:r>
            <w:r w:rsidRPr="00FD3865">
              <w:t xml:space="preserve">247 </w:t>
            </w:r>
            <w:r w:rsidRPr="00FD3865">
              <w:rPr>
                <w:rFonts w:hint="eastAsia"/>
              </w:rPr>
              <w:t>苯乙腈，从</w:t>
            </w:r>
            <w:r w:rsidRPr="00FD3865">
              <w:t>1</w:t>
            </w:r>
            <w:r w:rsidRPr="00FD3865">
              <w:rPr>
                <w:rFonts w:hint="eastAsia"/>
              </w:rPr>
              <w:t>类更改为</w:t>
            </w:r>
            <w:r w:rsidRPr="00FD3865">
              <w:t>3</w:t>
            </w:r>
            <w:r w:rsidRPr="00FD3865">
              <w:rPr>
                <w:rFonts w:hint="eastAsia"/>
              </w:rPr>
              <w:t>类。清单</w:t>
            </w:r>
            <w:r w:rsidRPr="00FD3865">
              <w:t>5.1</w:t>
            </w:r>
            <w:r w:rsidRPr="00FD3865">
              <w:rPr>
                <w:rFonts w:hint="eastAsia"/>
              </w:rPr>
              <w:t>添加全氟辛酸（</w:t>
            </w:r>
            <w:r w:rsidRPr="00FD3865">
              <w:t>PFOA</w:t>
            </w:r>
            <w:r w:rsidRPr="00FD3865">
              <w:rPr>
                <w:rFonts w:hint="eastAsia"/>
              </w:rPr>
              <w:t>）及其盐类以及全氟辛酸相关化合物（持久性有机污染物（</w:t>
            </w:r>
            <w:r w:rsidRPr="00FD3865">
              <w:t>POP</w:t>
            </w:r>
            <w:r w:rsidRPr="00FD3865">
              <w:rPr>
                <w:rFonts w:hint="eastAsia"/>
              </w:rPr>
              <w:t>））。（</w:t>
            </w:r>
            <w:r w:rsidRPr="00FD3865">
              <w:t>1</w:t>
            </w:r>
            <w:r w:rsidRPr="00FD3865">
              <w:rPr>
                <w:rFonts w:hint="eastAsia"/>
              </w:rPr>
              <w:t>）</w:t>
            </w:r>
            <w:r w:rsidRPr="00FD3865">
              <w:t xml:space="preserve"> </w:t>
            </w:r>
            <w:r w:rsidRPr="00FD3865">
              <w:rPr>
                <w:rFonts w:hint="eastAsia"/>
              </w:rPr>
              <w:t>条目</w:t>
            </w:r>
            <w:r w:rsidRPr="00FD3865">
              <w:t>526-533</w:t>
            </w:r>
            <w:r w:rsidRPr="00FD3865">
              <w:rPr>
                <w:rFonts w:hint="eastAsia"/>
              </w:rPr>
              <w:t>（</w:t>
            </w:r>
            <w:r w:rsidRPr="00FD3865">
              <w:t>8</w:t>
            </w:r>
            <w:r w:rsidRPr="00FD3865">
              <w:rPr>
                <w:rFonts w:hint="eastAsia"/>
              </w:rPr>
              <w:t>个条目），划入</w:t>
            </w:r>
            <w:r w:rsidRPr="00FD3865">
              <w:t>3</w:t>
            </w:r>
            <w:r w:rsidRPr="00FD3865">
              <w:rPr>
                <w:rFonts w:hint="eastAsia"/>
              </w:rPr>
              <w:t>类（如果属于关于持久性有机污染物的斯德哥尔摩公约规定的特定豁免范围）。（</w:t>
            </w:r>
            <w:r w:rsidRPr="00FD3865">
              <w:t>2</w:t>
            </w:r>
            <w:r w:rsidRPr="00FD3865">
              <w:rPr>
                <w:rFonts w:hint="eastAsia"/>
              </w:rPr>
              <w:t>）</w:t>
            </w:r>
            <w:r w:rsidRPr="00FD3865">
              <w:t xml:space="preserve"> </w:t>
            </w:r>
            <w:r w:rsidRPr="00FD3865">
              <w:rPr>
                <w:rFonts w:hint="eastAsia"/>
              </w:rPr>
              <w:t>条目</w:t>
            </w:r>
            <w:r w:rsidRPr="00FD3865">
              <w:t>534-541</w:t>
            </w:r>
            <w:r w:rsidRPr="00FD3865">
              <w:rPr>
                <w:rFonts w:hint="eastAsia"/>
              </w:rPr>
              <w:t>（</w:t>
            </w:r>
            <w:r w:rsidRPr="00FD3865">
              <w:t>8</w:t>
            </w:r>
            <w:r w:rsidRPr="00FD3865">
              <w:rPr>
                <w:rFonts w:hint="eastAsia"/>
              </w:rPr>
              <w:t>个条目），划入</w:t>
            </w:r>
            <w:r w:rsidRPr="00FD3865">
              <w:t>4</w:t>
            </w:r>
            <w:r w:rsidRPr="00FD3865">
              <w:rPr>
                <w:rFonts w:hint="eastAsia"/>
              </w:rPr>
              <w:t>类（如果不属于关于持久性有机污染物的斯德哥尔摩公约规定的特定豁免范围），但作为杂质且浓度不超过该通报草案规定的限值除外。全氟辛酸（</w:t>
            </w:r>
            <w:r w:rsidRPr="00FD3865">
              <w:t>PFOA</w:t>
            </w:r>
            <w:r w:rsidRPr="00FD3865">
              <w:rPr>
                <w:rFonts w:hint="eastAsia"/>
              </w:rPr>
              <w:t>）及其盐类以及全氟辛酸相关物质需遵守该通报草案的规定，包括（</w:t>
            </w:r>
            <w:r w:rsidRPr="00FD3865">
              <w:t>1</w:t>
            </w:r>
            <w:r w:rsidRPr="00FD3865">
              <w:rPr>
                <w:rFonts w:hint="eastAsia"/>
              </w:rPr>
              <w:t>）全氟辛酸，</w:t>
            </w:r>
            <w:r w:rsidRPr="00FD3865">
              <w:t>CAS</w:t>
            </w:r>
            <w:r w:rsidRPr="00FD3865">
              <w:rPr>
                <w:rFonts w:hint="eastAsia"/>
              </w:rPr>
              <w:t>号</w:t>
            </w:r>
            <w:r w:rsidRPr="00FD3865">
              <w:t>335-67-1</w:t>
            </w:r>
            <w:r w:rsidRPr="00FD3865">
              <w:rPr>
                <w:rFonts w:hint="eastAsia"/>
              </w:rPr>
              <w:t>（</w:t>
            </w:r>
            <w:r w:rsidRPr="00FD3865">
              <w:t>2</w:t>
            </w:r>
            <w:r w:rsidRPr="00FD3865">
              <w:rPr>
                <w:rFonts w:hint="eastAsia"/>
              </w:rPr>
              <w:t>）</w:t>
            </w:r>
            <w:r w:rsidRPr="00FD3865">
              <w:t xml:space="preserve"> </w:t>
            </w:r>
            <w:r w:rsidRPr="00FD3865">
              <w:rPr>
                <w:rFonts w:hint="eastAsia"/>
              </w:rPr>
              <w:t>全氟辛酸铵，</w:t>
            </w:r>
            <w:r w:rsidRPr="00FD3865">
              <w:t>CAS</w:t>
            </w:r>
            <w:r w:rsidRPr="00FD3865">
              <w:rPr>
                <w:rFonts w:hint="eastAsia"/>
              </w:rPr>
              <w:t>号</w:t>
            </w:r>
            <w:r w:rsidRPr="00FD3865">
              <w:t>3825-26-1</w:t>
            </w:r>
            <w:r w:rsidRPr="00FD3865">
              <w:rPr>
                <w:rFonts w:hint="eastAsia"/>
              </w:rPr>
              <w:t>（</w:t>
            </w:r>
            <w:r w:rsidRPr="00FD3865">
              <w:t>3</w:t>
            </w:r>
            <w:r w:rsidRPr="00FD3865">
              <w:rPr>
                <w:rFonts w:hint="eastAsia"/>
              </w:rPr>
              <w:t>）</w:t>
            </w:r>
            <w:r w:rsidRPr="00FD3865">
              <w:t xml:space="preserve"> </w:t>
            </w:r>
            <w:r w:rsidRPr="00FD3865">
              <w:rPr>
                <w:rFonts w:hint="eastAsia"/>
              </w:rPr>
              <w:t>全氟辛酸钠，</w:t>
            </w:r>
            <w:r w:rsidRPr="00FD3865">
              <w:t>CAS</w:t>
            </w:r>
            <w:r w:rsidRPr="00FD3865">
              <w:rPr>
                <w:rFonts w:hint="eastAsia"/>
              </w:rPr>
              <w:t>号</w:t>
            </w:r>
            <w:r w:rsidRPr="00FD3865">
              <w:t>335-95-5</w:t>
            </w:r>
            <w:r w:rsidRPr="00FD3865">
              <w:rPr>
                <w:rFonts w:hint="eastAsia"/>
              </w:rPr>
              <w:t>（</w:t>
            </w:r>
            <w:r w:rsidRPr="00FD3865">
              <w:t>4</w:t>
            </w:r>
            <w:r w:rsidRPr="00FD3865">
              <w:rPr>
                <w:rFonts w:hint="eastAsia"/>
              </w:rPr>
              <w:t>）</w:t>
            </w:r>
            <w:r w:rsidRPr="00FD3865">
              <w:t xml:space="preserve"> </w:t>
            </w:r>
            <w:r w:rsidRPr="00FD3865">
              <w:rPr>
                <w:rFonts w:hint="eastAsia"/>
              </w:rPr>
              <w:t>全氟辛酸钾，</w:t>
            </w:r>
            <w:r w:rsidRPr="00FD3865">
              <w:t>CAS</w:t>
            </w:r>
            <w:r w:rsidRPr="00FD3865">
              <w:rPr>
                <w:rFonts w:hint="eastAsia"/>
              </w:rPr>
              <w:t>号</w:t>
            </w:r>
            <w:r w:rsidRPr="00FD3865">
              <w:t>2395-00-8</w:t>
            </w:r>
            <w:r w:rsidRPr="00FD3865">
              <w:rPr>
                <w:rFonts w:hint="eastAsia"/>
              </w:rPr>
              <w:t>（</w:t>
            </w:r>
            <w:r w:rsidRPr="00FD3865">
              <w:t>5</w:t>
            </w:r>
            <w:r w:rsidRPr="00FD3865">
              <w:rPr>
                <w:rFonts w:hint="eastAsia"/>
              </w:rPr>
              <w:t>）</w:t>
            </w:r>
            <w:r w:rsidRPr="00FD3865">
              <w:t xml:space="preserve"> </w:t>
            </w:r>
            <w:r w:rsidRPr="00FD3865">
              <w:rPr>
                <w:rFonts w:hint="eastAsia"/>
              </w:rPr>
              <w:t>全氟辛酸银，</w:t>
            </w:r>
            <w:r w:rsidRPr="00FD3865">
              <w:t>CAS</w:t>
            </w:r>
            <w:r w:rsidRPr="00FD3865">
              <w:rPr>
                <w:rFonts w:hint="eastAsia"/>
              </w:rPr>
              <w:t>号</w:t>
            </w:r>
            <w:r w:rsidRPr="00FD3865">
              <w:t>335-93-3</w:t>
            </w:r>
            <w:r w:rsidRPr="00FD3865">
              <w:rPr>
                <w:rFonts w:hint="eastAsia"/>
              </w:rPr>
              <w:t>（</w:t>
            </w:r>
            <w:r w:rsidRPr="00FD3865">
              <w:t>6</w:t>
            </w:r>
            <w:r w:rsidRPr="00FD3865">
              <w:rPr>
                <w:rFonts w:hint="eastAsia"/>
              </w:rPr>
              <w:t>）</w:t>
            </w:r>
            <w:r w:rsidRPr="00FD3865">
              <w:t xml:space="preserve"> </w:t>
            </w:r>
            <w:r w:rsidRPr="00FD3865">
              <w:rPr>
                <w:rFonts w:hint="eastAsia"/>
              </w:rPr>
              <w:t>全氟辛酰氯，</w:t>
            </w:r>
            <w:r w:rsidRPr="00FD3865">
              <w:t>CAS</w:t>
            </w:r>
            <w:r w:rsidRPr="00FD3865">
              <w:rPr>
                <w:rFonts w:hint="eastAsia"/>
              </w:rPr>
              <w:t>号</w:t>
            </w:r>
            <w:r w:rsidRPr="00FD3865">
              <w:t>335-66-0</w:t>
            </w:r>
            <w:r w:rsidRPr="00FD3865">
              <w:rPr>
                <w:rFonts w:hint="eastAsia"/>
              </w:rPr>
              <w:t>（</w:t>
            </w:r>
            <w:r w:rsidRPr="00FD3865">
              <w:t>7</w:t>
            </w:r>
            <w:r w:rsidRPr="00FD3865">
              <w:rPr>
                <w:rFonts w:hint="eastAsia"/>
              </w:rPr>
              <w:t>）</w:t>
            </w:r>
            <w:r w:rsidRPr="00FD3865">
              <w:t xml:space="preserve"> </w:t>
            </w:r>
            <w:r w:rsidRPr="00FD3865">
              <w:rPr>
                <w:rFonts w:hint="eastAsia"/>
              </w:rPr>
              <w:t>全氟辛酸甲酯，</w:t>
            </w:r>
            <w:r w:rsidRPr="00FD3865">
              <w:t>CAS</w:t>
            </w:r>
            <w:r w:rsidRPr="00FD3865">
              <w:rPr>
                <w:rFonts w:hint="eastAsia"/>
              </w:rPr>
              <w:t>号</w:t>
            </w:r>
            <w:r w:rsidRPr="00FD3865">
              <w:t>376-27-2</w:t>
            </w:r>
            <w:r w:rsidRPr="00FD3865">
              <w:rPr>
                <w:rFonts w:hint="eastAsia"/>
              </w:rPr>
              <w:t>（</w:t>
            </w:r>
            <w:r w:rsidRPr="00FD3865">
              <w:t>8</w:t>
            </w:r>
            <w:r w:rsidRPr="00FD3865">
              <w:rPr>
                <w:rFonts w:hint="eastAsia"/>
              </w:rPr>
              <w:t>）</w:t>
            </w:r>
            <w:r w:rsidRPr="00FD3865">
              <w:t xml:space="preserve"> </w:t>
            </w:r>
            <w:r w:rsidRPr="00FD3865">
              <w:rPr>
                <w:rFonts w:hint="eastAsia"/>
              </w:rPr>
              <w:t>全氟辛酸乙酯，</w:t>
            </w:r>
            <w:r w:rsidRPr="00FD3865">
              <w:t>CAS</w:t>
            </w:r>
            <w:r w:rsidRPr="00FD3865">
              <w:rPr>
                <w:rFonts w:hint="eastAsia"/>
              </w:rPr>
              <w:t>号</w:t>
            </w:r>
            <w:r w:rsidRPr="00FD3865">
              <w:t xml:space="preserve">3108-24-52. </w:t>
            </w:r>
            <w:r w:rsidRPr="00FD3865">
              <w:rPr>
                <w:rFonts w:hint="eastAsia"/>
              </w:rPr>
              <w:t>食品药品监督管理局对</w:t>
            </w:r>
            <w:r w:rsidRPr="00FD3865">
              <w:t>24</w:t>
            </w:r>
            <w:r w:rsidRPr="00FD3865">
              <w:rPr>
                <w:rFonts w:hint="eastAsia"/>
              </w:rPr>
              <w:t>种危险物质的管控要求进行以下修订。清单</w:t>
            </w:r>
            <w:r w:rsidRPr="00FD3865">
              <w:t>4.1</w:t>
            </w:r>
            <w:r w:rsidRPr="00FD3865">
              <w:rPr>
                <w:rFonts w:hint="eastAsia"/>
              </w:rPr>
              <w:t>的</w:t>
            </w:r>
            <w:r w:rsidRPr="00FD3865">
              <w:t>21</w:t>
            </w:r>
            <w:r w:rsidRPr="00FD3865">
              <w:rPr>
                <w:rFonts w:hint="eastAsia"/>
              </w:rPr>
              <w:t>个条目（条目</w:t>
            </w:r>
            <w:r w:rsidRPr="00FD3865">
              <w:t>18</w:t>
            </w:r>
            <w:r w:rsidRPr="00FD3865">
              <w:rPr>
                <w:rFonts w:hint="eastAsia"/>
              </w:rPr>
              <w:t>、</w:t>
            </w:r>
            <w:r w:rsidRPr="00FD3865">
              <w:t>31</w:t>
            </w:r>
            <w:r w:rsidRPr="00FD3865">
              <w:rPr>
                <w:rFonts w:hint="eastAsia"/>
              </w:rPr>
              <w:t>、</w:t>
            </w:r>
            <w:r w:rsidRPr="00FD3865">
              <w:t>39</w:t>
            </w:r>
            <w:r w:rsidRPr="00FD3865">
              <w:rPr>
                <w:rFonts w:hint="eastAsia"/>
              </w:rPr>
              <w:t>、</w:t>
            </w:r>
            <w:r w:rsidRPr="00FD3865">
              <w:t>41</w:t>
            </w:r>
            <w:r w:rsidRPr="00FD3865">
              <w:rPr>
                <w:rFonts w:hint="eastAsia"/>
              </w:rPr>
              <w:t>、</w:t>
            </w:r>
            <w:r w:rsidRPr="00FD3865">
              <w:t>47</w:t>
            </w:r>
            <w:r w:rsidRPr="00FD3865">
              <w:rPr>
                <w:rFonts w:hint="eastAsia"/>
              </w:rPr>
              <w:t>、</w:t>
            </w:r>
            <w:r w:rsidRPr="00FD3865">
              <w:t>51</w:t>
            </w:r>
            <w:r w:rsidRPr="00FD3865">
              <w:rPr>
                <w:rFonts w:hint="eastAsia"/>
              </w:rPr>
              <w:t>、</w:t>
            </w:r>
            <w:r w:rsidRPr="00FD3865">
              <w:t>52</w:t>
            </w:r>
            <w:r w:rsidRPr="00FD3865">
              <w:rPr>
                <w:rFonts w:hint="eastAsia"/>
              </w:rPr>
              <w:t>、</w:t>
            </w:r>
            <w:r w:rsidRPr="00FD3865">
              <w:t>74</w:t>
            </w:r>
            <w:r w:rsidRPr="00FD3865">
              <w:rPr>
                <w:rFonts w:hint="eastAsia"/>
              </w:rPr>
              <w:t>、</w:t>
            </w:r>
            <w:r w:rsidRPr="00FD3865">
              <w:t>75</w:t>
            </w:r>
            <w:r w:rsidRPr="00FD3865">
              <w:rPr>
                <w:rFonts w:hint="eastAsia"/>
              </w:rPr>
              <w:t>、</w:t>
            </w:r>
            <w:r w:rsidRPr="00FD3865">
              <w:t>94</w:t>
            </w:r>
            <w:r w:rsidRPr="00FD3865">
              <w:rPr>
                <w:rFonts w:hint="eastAsia"/>
              </w:rPr>
              <w:t>、</w:t>
            </w:r>
            <w:r w:rsidRPr="00FD3865">
              <w:t>109</w:t>
            </w:r>
            <w:r w:rsidRPr="00FD3865">
              <w:rPr>
                <w:rFonts w:hint="eastAsia"/>
              </w:rPr>
              <w:t>、</w:t>
            </w:r>
            <w:r w:rsidRPr="00FD3865">
              <w:t>110</w:t>
            </w:r>
            <w:r w:rsidRPr="00FD3865">
              <w:rPr>
                <w:rFonts w:hint="eastAsia"/>
              </w:rPr>
              <w:t>、</w:t>
            </w:r>
            <w:r w:rsidRPr="00FD3865">
              <w:t>111</w:t>
            </w:r>
            <w:r w:rsidRPr="00FD3865">
              <w:rPr>
                <w:rFonts w:hint="eastAsia"/>
              </w:rPr>
              <w:t>、</w:t>
            </w:r>
            <w:r w:rsidRPr="00FD3865">
              <w:t>137</w:t>
            </w:r>
            <w:r w:rsidRPr="00FD3865">
              <w:rPr>
                <w:rFonts w:hint="eastAsia"/>
              </w:rPr>
              <w:t>、</w:t>
            </w:r>
            <w:r w:rsidRPr="00FD3865">
              <w:t>138</w:t>
            </w:r>
            <w:r w:rsidRPr="00FD3865">
              <w:rPr>
                <w:rFonts w:hint="eastAsia"/>
              </w:rPr>
              <w:t>、</w:t>
            </w:r>
            <w:r w:rsidRPr="00FD3865">
              <w:t>152</w:t>
            </w:r>
            <w:r w:rsidRPr="00FD3865">
              <w:rPr>
                <w:rFonts w:hint="eastAsia"/>
              </w:rPr>
              <w:t>、</w:t>
            </w:r>
            <w:r w:rsidRPr="00FD3865">
              <w:t>168</w:t>
            </w:r>
            <w:r w:rsidRPr="00FD3865">
              <w:rPr>
                <w:rFonts w:hint="eastAsia"/>
              </w:rPr>
              <w:t>、</w:t>
            </w:r>
            <w:r w:rsidRPr="00FD3865">
              <w:t>173</w:t>
            </w:r>
            <w:r w:rsidRPr="00FD3865">
              <w:rPr>
                <w:rFonts w:hint="eastAsia"/>
              </w:rPr>
              <w:t>、</w:t>
            </w:r>
            <w:r w:rsidRPr="00FD3865">
              <w:t>189</w:t>
            </w:r>
            <w:r w:rsidRPr="00FD3865">
              <w:rPr>
                <w:rFonts w:hint="eastAsia"/>
              </w:rPr>
              <w:t>、</w:t>
            </w:r>
            <w:r w:rsidRPr="00FD3865">
              <w:t>208</w:t>
            </w:r>
            <w:r w:rsidRPr="00FD3865">
              <w:rPr>
                <w:rFonts w:hint="eastAsia"/>
              </w:rPr>
              <w:t>和</w:t>
            </w:r>
            <w:r w:rsidRPr="00FD3865">
              <w:t>209</w:t>
            </w:r>
            <w:r w:rsidRPr="00FD3865">
              <w:rPr>
                <w:rFonts w:hint="eastAsia"/>
              </w:rPr>
              <w:t>）清单</w:t>
            </w:r>
            <w:r w:rsidRPr="00FD3865">
              <w:t>4.2</w:t>
            </w:r>
            <w:r w:rsidRPr="00FD3865">
              <w:rPr>
                <w:rFonts w:hint="eastAsia"/>
              </w:rPr>
              <w:t>的</w:t>
            </w:r>
            <w:r w:rsidRPr="00FD3865">
              <w:t>1</w:t>
            </w:r>
            <w:r w:rsidRPr="00FD3865">
              <w:rPr>
                <w:rFonts w:hint="eastAsia"/>
              </w:rPr>
              <w:t>个条目（条目</w:t>
            </w:r>
            <w:r w:rsidRPr="00FD3865">
              <w:t>3</w:t>
            </w:r>
            <w:r w:rsidRPr="00FD3865">
              <w:rPr>
                <w:rFonts w:hint="eastAsia"/>
              </w:rPr>
              <w:t>），要求修订如下。“家庭或公共卫生工作使用的产品，用于抑制、防止、控制、消灭啮齿动物”清单</w:t>
            </w:r>
            <w:r w:rsidRPr="00FD3865">
              <w:t>4.3</w:t>
            </w:r>
            <w:r w:rsidRPr="00FD3865">
              <w:rPr>
                <w:rFonts w:hint="eastAsia"/>
              </w:rPr>
              <w:t>的</w:t>
            </w:r>
            <w:r w:rsidRPr="00FD3865">
              <w:t>2</w:t>
            </w:r>
            <w:r w:rsidRPr="00FD3865">
              <w:rPr>
                <w:rFonts w:hint="eastAsia"/>
              </w:rPr>
              <w:t>个条目具体如下。（</w:t>
            </w:r>
            <w:r w:rsidRPr="00FD3865">
              <w:t>2.1</w:t>
            </w:r>
            <w:r w:rsidRPr="00FD3865">
              <w:rPr>
                <w:rFonts w:hint="eastAsia"/>
              </w:rPr>
              <w:t>）条目</w:t>
            </w:r>
            <w:r w:rsidRPr="00FD3865">
              <w:t>1</w:t>
            </w:r>
            <w:r w:rsidRPr="00FD3865">
              <w:rPr>
                <w:rFonts w:hint="eastAsia"/>
              </w:rPr>
              <w:t>，将名称更改为“家庭或公共卫生工作使用的产品，用于抑制、防止、控制、消灭啮齿动物”，添加以下豁免要求。“符合以下要求的产品除外。使用植物或动物精油作为活性成分的产品。主要成分为植物部位的产品，可以进行加工，比如切碎、研磨、切段、切片。含有植物或动物源物质的产品，通过煮沸、发酵、提取、燃烧或任何其他工艺进行处理，不添加其他旨在引起化学反应的物质作为主要成分。但是，第</w:t>
            </w:r>
            <w:r w:rsidRPr="00FD3865">
              <w:t>1</w:t>
            </w:r>
            <w:r w:rsidRPr="00FD3865">
              <w:rPr>
                <w:rFonts w:hint="eastAsia"/>
              </w:rPr>
              <w:t>、</w:t>
            </w:r>
            <w:r w:rsidRPr="00FD3865">
              <w:t>2</w:t>
            </w:r>
            <w:r w:rsidRPr="00FD3865">
              <w:rPr>
                <w:rFonts w:hint="eastAsia"/>
              </w:rPr>
              <w:t>、</w:t>
            </w:r>
            <w:r w:rsidRPr="00FD3865">
              <w:t>3</w:t>
            </w:r>
            <w:r w:rsidRPr="00FD3865">
              <w:rPr>
                <w:rFonts w:hint="eastAsia"/>
              </w:rPr>
              <w:t>项中的产品不得使用合成化学品作为活性成分。”（</w:t>
            </w:r>
            <w:r w:rsidRPr="00FD3865">
              <w:t>2.2</w:t>
            </w:r>
            <w:r w:rsidRPr="00FD3865">
              <w:rPr>
                <w:rFonts w:hint="eastAsia"/>
              </w:rPr>
              <w:t>）</w:t>
            </w:r>
            <w:r w:rsidRPr="00FD3865">
              <w:t xml:space="preserve"> </w:t>
            </w:r>
            <w:r w:rsidRPr="00FD3865">
              <w:rPr>
                <w:rFonts w:hint="eastAsia"/>
              </w:rPr>
              <w:t>条目</w:t>
            </w:r>
            <w:r w:rsidRPr="00FD3865">
              <w:t>4</w:t>
            </w:r>
            <w:r w:rsidRPr="00FD3865">
              <w:rPr>
                <w:rFonts w:hint="eastAsia"/>
              </w:rPr>
              <w:t>，添加以下豁免要求。“使用酶作为活性成分且未使用合成化学品作为活性成分的漂白产品除外。”</w:t>
            </w:r>
            <w:r w:rsidRPr="00FD3865">
              <w:t xml:space="preserve">3. </w:t>
            </w:r>
            <w:r w:rsidRPr="00FD3865">
              <w:rPr>
                <w:rFonts w:hint="eastAsia"/>
              </w:rPr>
              <w:t>畜牧部</w:t>
            </w:r>
            <w:r w:rsidRPr="00FD3865">
              <w:t xml:space="preserve">- </w:t>
            </w:r>
            <w:r w:rsidRPr="00FD3865">
              <w:rPr>
                <w:rFonts w:hint="eastAsia"/>
              </w:rPr>
              <w:t>清单</w:t>
            </w:r>
            <w:r w:rsidRPr="00FD3865">
              <w:t>3.1</w:t>
            </w:r>
            <w:r w:rsidRPr="00FD3865">
              <w:rPr>
                <w:rFonts w:hint="eastAsia"/>
              </w:rPr>
              <w:t>添加“毒死蜱”（条目</w:t>
            </w:r>
            <w:r w:rsidRPr="00FD3865">
              <w:t>24</w:t>
            </w:r>
            <w:r w:rsidRPr="00FD3865">
              <w:rPr>
                <w:rFonts w:hint="eastAsia"/>
              </w:rPr>
              <w:t>），划入</w:t>
            </w:r>
            <w:r w:rsidRPr="00FD3865">
              <w:t>4</w:t>
            </w:r>
            <w:r w:rsidRPr="00FD3865">
              <w:rPr>
                <w:rFonts w:hint="eastAsia"/>
              </w:rPr>
              <w:t>类危险物质，要求如下。“用于防止、消灭、控制害虫或有害动物（动物体内的活体寄生虫除外）的活性成分或含有此类活性成分的产品”</w:t>
            </w:r>
            <w:r w:rsidRPr="00FD3865">
              <w:t xml:space="preserve">4. </w:t>
            </w:r>
            <w:r w:rsidRPr="00FD3865">
              <w:rPr>
                <w:rFonts w:hint="eastAsia"/>
              </w:rPr>
              <w:t>该通报规定的</w:t>
            </w:r>
            <w:r w:rsidRPr="00FD3865">
              <w:t>3</w:t>
            </w:r>
            <w:r w:rsidRPr="00FD3865">
              <w:rPr>
                <w:rFonts w:hint="eastAsia"/>
              </w:rPr>
              <w:t>类危险物质的生产商、进口商、出口商或加工商如果在该通报生效日期前已开展经营，则应在该通报生效日期后</w:t>
            </w:r>
            <w:r w:rsidRPr="00FD3865">
              <w:t>30</w:t>
            </w:r>
            <w:r w:rsidRPr="00FD3865">
              <w:rPr>
                <w:rFonts w:hint="eastAsia"/>
              </w:rPr>
              <w:t>天内提交许可证申请。如果危险物质需要注册，则应在同一期限内提交注册申请。</w:t>
            </w:r>
            <w:r w:rsidRPr="00FD3865">
              <w:t xml:space="preserve">5. </w:t>
            </w:r>
            <w:r w:rsidRPr="00FD3865">
              <w:rPr>
                <w:rFonts w:hint="eastAsia"/>
              </w:rPr>
              <w:t>该通报规定的</w:t>
            </w:r>
            <w:r w:rsidRPr="00FD3865">
              <w:t>4</w:t>
            </w:r>
            <w:r w:rsidRPr="00FD3865">
              <w:rPr>
                <w:rFonts w:hint="eastAsia"/>
              </w:rPr>
              <w:t>类危险物质的生产商、进口商、出口商或加工商如果在该通报生效日期前已开展经营，则应在该通报生效日期后</w:t>
            </w:r>
            <w:r w:rsidRPr="00FD3865">
              <w:t>180</w:t>
            </w:r>
            <w:r w:rsidRPr="00FD3865">
              <w:rPr>
                <w:rFonts w:hint="eastAsia"/>
              </w:rPr>
              <w:t>天内符合主管人员的命令。</w:t>
            </w:r>
          </w:p>
        </w:tc>
      </w:tr>
      <w:tr w:rsidR="00B907F0" w:rsidTr="008E796A">
        <w:tc>
          <w:tcPr>
            <w:tcW w:w="1384" w:type="dxa"/>
            <w:vMerge w:val="restart"/>
            <w:vAlign w:val="center"/>
          </w:tcPr>
          <w:p w:rsidR="00B907F0" w:rsidRPr="008E796A" w:rsidRDefault="00B907F0" w:rsidP="008E796A">
            <w:pPr>
              <w:jc w:val="center"/>
              <w:rPr>
                <w:b/>
              </w:rPr>
            </w:pPr>
            <w:r w:rsidRPr="008E796A">
              <w:rPr>
                <w:rFonts w:hint="eastAsia"/>
                <w:b/>
              </w:rPr>
              <w:t>沙特阿拉伯</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39</w:t>
            </w:r>
          </w:p>
        </w:tc>
        <w:tc>
          <w:tcPr>
            <w:tcW w:w="12223" w:type="dxa"/>
          </w:tcPr>
          <w:p w:rsidR="00B907F0" w:rsidRPr="00FD3865" w:rsidRDefault="00B907F0">
            <w:r w:rsidRPr="00FD3865">
              <w:rPr>
                <w:rFonts w:hint="eastAsia"/>
              </w:rPr>
              <w:t>沙特阿拉伯王国制定无谷蛋白食品技术法规。技术法规草案范围包括：</w:t>
            </w:r>
            <w:r w:rsidRPr="00FD3865">
              <w:t xml:space="preserve"> 1.1 </w:t>
            </w:r>
            <w:r w:rsidRPr="00FD3865">
              <w:rPr>
                <w:rFonts w:hint="eastAsia"/>
              </w:rPr>
              <w:t>为满足麸质不耐受人群的特殊营养需求而制备的具有特殊营养功效的食品；</w:t>
            </w:r>
            <w:r w:rsidRPr="00FD3865">
              <w:t xml:space="preserve"> 2.1 </w:t>
            </w:r>
            <w:r w:rsidRPr="00FD3865">
              <w:rPr>
                <w:rFonts w:hint="eastAsia"/>
              </w:rPr>
              <w:t>适合麸质不耐受人群食用的公众消费型食品。</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40</w:t>
            </w:r>
          </w:p>
        </w:tc>
        <w:tc>
          <w:tcPr>
            <w:tcW w:w="12223" w:type="dxa"/>
          </w:tcPr>
          <w:p w:rsidR="00B907F0" w:rsidRPr="00FD3865" w:rsidRDefault="00B907F0">
            <w:r w:rsidRPr="00FD3865">
              <w:rPr>
                <w:rFonts w:hint="eastAsia"/>
              </w:rPr>
              <w:t>沙特阿拉伯暂时禁止进口原产于巴基斯坦的活牛。世界动物卫生组织（</w:t>
            </w:r>
            <w:r w:rsidRPr="00FD3865">
              <w:t>OIE</w:t>
            </w:r>
            <w:r w:rsidRPr="00FD3865">
              <w:rPr>
                <w:rFonts w:hint="eastAsia"/>
              </w:rPr>
              <w:t>）指出巴基斯坦已经出现牛结节疹，因此，沙特阿拉伯王国有必要采取措施防止疾病传入本国。为此，暂时停止从巴基斯坦向沙特阿拉伯王国进口活牛。</w:t>
            </w:r>
          </w:p>
        </w:tc>
      </w:tr>
      <w:tr w:rsidR="00B907F0" w:rsidTr="008E796A">
        <w:tc>
          <w:tcPr>
            <w:tcW w:w="1384" w:type="dxa"/>
            <w:vMerge w:val="restart"/>
            <w:vAlign w:val="center"/>
          </w:tcPr>
          <w:p w:rsidR="00B907F0" w:rsidRDefault="00B907F0" w:rsidP="008E796A">
            <w:pPr>
              <w:jc w:val="center"/>
            </w:pPr>
            <w:r w:rsidRPr="008E796A">
              <w:rPr>
                <w:rFonts w:hint="eastAsia"/>
                <w:b/>
              </w:rPr>
              <w:t>巴西</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41</w:t>
            </w:r>
          </w:p>
        </w:tc>
        <w:tc>
          <w:tcPr>
            <w:tcW w:w="12223" w:type="dxa"/>
          </w:tcPr>
          <w:p w:rsidR="00B907F0" w:rsidRPr="00FD3865" w:rsidRDefault="00B907F0">
            <w:r w:rsidRPr="00FD3865">
              <w:rPr>
                <w:rFonts w:hint="eastAsia"/>
              </w:rPr>
              <w:t>巴西制定进口兔类动物的动物卫生要求。</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42</w:t>
            </w:r>
          </w:p>
        </w:tc>
        <w:tc>
          <w:tcPr>
            <w:tcW w:w="12223" w:type="dxa"/>
            <w:vAlign w:val="center"/>
          </w:tcPr>
          <w:p w:rsidR="00B907F0" w:rsidRPr="008E796A" w:rsidRDefault="00B907F0">
            <w:pPr>
              <w:rPr>
                <w:rFonts w:ascii="宋体" w:cs="宋体"/>
                <w:sz w:val="22"/>
                <w:szCs w:val="22"/>
              </w:rPr>
            </w:pPr>
            <w:r w:rsidRPr="008E796A">
              <w:rPr>
                <w:rFonts w:hint="eastAsia"/>
                <w:color w:val="000000"/>
                <w:sz w:val="22"/>
                <w:szCs w:val="22"/>
              </w:rPr>
              <w:t>巴西制订食品召回管理法规。</w:t>
            </w:r>
            <w:r w:rsidRPr="008E796A">
              <w:rPr>
                <w:color w:val="000000"/>
                <w:sz w:val="22"/>
                <w:szCs w:val="22"/>
              </w:rPr>
              <w:t>2022</w:t>
            </w:r>
            <w:r w:rsidRPr="008E796A">
              <w:rPr>
                <w:rFonts w:hint="eastAsia"/>
                <w:color w:val="000000"/>
                <w:sz w:val="22"/>
                <w:szCs w:val="22"/>
              </w:rPr>
              <w:t>年</w:t>
            </w:r>
            <w:r w:rsidRPr="008E796A">
              <w:rPr>
                <w:color w:val="000000"/>
                <w:sz w:val="22"/>
                <w:szCs w:val="22"/>
              </w:rPr>
              <w:t>3</w:t>
            </w:r>
            <w:r w:rsidRPr="008E796A">
              <w:rPr>
                <w:rFonts w:hint="eastAsia"/>
                <w:color w:val="000000"/>
                <w:sz w:val="22"/>
                <w:szCs w:val="22"/>
              </w:rPr>
              <w:t>月</w:t>
            </w:r>
            <w:r w:rsidRPr="008E796A">
              <w:rPr>
                <w:color w:val="000000"/>
                <w:sz w:val="22"/>
                <w:szCs w:val="22"/>
              </w:rPr>
              <w:t>30</w:t>
            </w:r>
            <w:r w:rsidRPr="008E796A">
              <w:rPr>
                <w:rFonts w:hint="eastAsia"/>
                <w:color w:val="000000"/>
                <w:sz w:val="22"/>
                <w:szCs w:val="22"/>
              </w:rPr>
              <w:t>日，巴西国家卫生监督局（</w:t>
            </w:r>
            <w:r w:rsidRPr="008E796A">
              <w:rPr>
                <w:color w:val="000000"/>
                <w:sz w:val="22"/>
                <w:szCs w:val="22"/>
              </w:rPr>
              <w:t>ANVISA</w:t>
            </w:r>
            <w:r w:rsidRPr="008E796A">
              <w:rPr>
                <w:rFonts w:hint="eastAsia"/>
                <w:color w:val="000000"/>
                <w:sz w:val="22"/>
                <w:szCs w:val="22"/>
              </w:rPr>
              <w:t>）通过政府公报发布第</w:t>
            </w:r>
            <w:r w:rsidRPr="008E796A">
              <w:rPr>
                <w:color w:val="000000"/>
                <w:sz w:val="22"/>
                <w:szCs w:val="22"/>
              </w:rPr>
              <w:t>655</w:t>
            </w:r>
            <w:r w:rsidRPr="008E796A">
              <w:rPr>
                <w:rFonts w:hint="eastAsia"/>
                <w:color w:val="000000"/>
                <w:sz w:val="22"/>
                <w:szCs w:val="22"/>
              </w:rPr>
              <w:t>号决议，制订《食品召回管理法规》。</w:t>
            </w:r>
            <w:r w:rsidRPr="008E796A">
              <w:rPr>
                <w:color w:val="000000"/>
                <w:sz w:val="22"/>
                <w:szCs w:val="22"/>
              </w:rPr>
              <w:t xml:space="preserve"> </w:t>
            </w:r>
            <w:r w:rsidRPr="008E796A">
              <w:rPr>
                <w:rFonts w:hint="eastAsia"/>
                <w:color w:val="000000"/>
                <w:sz w:val="22"/>
                <w:szCs w:val="22"/>
              </w:rPr>
              <w:t>该法规规定了食品召回的标准和程序，适用于进口或巴西国产的食品（包括饮用水和饮料）、食品配料、食品添加剂等产品。主要内容包括术语和定义、召回计划的制订和实施、可追溯性要求、召回信息上报和官方监督、不合格处置、后续监管（对于进入流通环节的不合格进口食品，除应进行召回处置外，</w:t>
            </w:r>
            <w:r w:rsidRPr="008E796A">
              <w:rPr>
                <w:color w:val="000000"/>
                <w:sz w:val="22"/>
                <w:szCs w:val="22"/>
              </w:rPr>
              <w:t>ANVISA</w:t>
            </w:r>
            <w:r w:rsidRPr="008E796A">
              <w:rPr>
                <w:rFonts w:hint="eastAsia"/>
                <w:color w:val="000000"/>
                <w:sz w:val="22"/>
                <w:szCs w:val="22"/>
              </w:rPr>
              <w:t>还应针对后续产品采取预警措施）。</w:t>
            </w:r>
            <w:r w:rsidRPr="008E796A">
              <w:rPr>
                <w:color w:val="000000"/>
                <w:sz w:val="22"/>
                <w:szCs w:val="22"/>
              </w:rPr>
              <w:t xml:space="preserve"> </w:t>
            </w:r>
            <w:r w:rsidRPr="008E796A">
              <w:rPr>
                <w:rFonts w:hint="eastAsia"/>
                <w:color w:val="000000"/>
                <w:sz w:val="22"/>
                <w:szCs w:val="22"/>
              </w:rPr>
              <w:t>该决议自</w:t>
            </w:r>
            <w:r w:rsidRPr="008E796A">
              <w:rPr>
                <w:color w:val="000000"/>
                <w:sz w:val="22"/>
                <w:szCs w:val="22"/>
              </w:rPr>
              <w:t>2022</w:t>
            </w:r>
            <w:r w:rsidRPr="008E796A">
              <w:rPr>
                <w:rFonts w:hint="eastAsia"/>
                <w:color w:val="000000"/>
                <w:sz w:val="22"/>
                <w:szCs w:val="22"/>
              </w:rPr>
              <w:t>年</w:t>
            </w:r>
            <w:r w:rsidRPr="008E796A">
              <w:rPr>
                <w:color w:val="000000"/>
                <w:sz w:val="22"/>
                <w:szCs w:val="22"/>
              </w:rPr>
              <w:t>5</w:t>
            </w:r>
            <w:r w:rsidRPr="008E796A">
              <w:rPr>
                <w:rFonts w:hint="eastAsia"/>
                <w:color w:val="000000"/>
                <w:sz w:val="22"/>
                <w:szCs w:val="22"/>
              </w:rPr>
              <w:t>月</w:t>
            </w:r>
            <w:r w:rsidRPr="008E796A">
              <w:rPr>
                <w:color w:val="000000"/>
                <w:sz w:val="22"/>
                <w:szCs w:val="22"/>
              </w:rPr>
              <w:t>2</w:t>
            </w:r>
            <w:r w:rsidRPr="008E796A">
              <w:rPr>
                <w:rFonts w:hint="eastAsia"/>
                <w:color w:val="000000"/>
                <w:sz w:val="22"/>
                <w:szCs w:val="22"/>
              </w:rPr>
              <w:t>日起生效。</w:t>
            </w:r>
          </w:p>
        </w:tc>
      </w:tr>
      <w:tr w:rsidR="00B907F0" w:rsidTr="008E796A">
        <w:tc>
          <w:tcPr>
            <w:tcW w:w="1384" w:type="dxa"/>
            <w:vAlign w:val="center"/>
          </w:tcPr>
          <w:p w:rsidR="00B907F0" w:rsidRPr="008E796A" w:rsidRDefault="00B907F0" w:rsidP="008E796A">
            <w:pPr>
              <w:jc w:val="center"/>
              <w:rPr>
                <w:b/>
              </w:rPr>
            </w:pPr>
            <w:r w:rsidRPr="008E796A">
              <w:rPr>
                <w:rFonts w:hint="eastAsia"/>
                <w:b/>
              </w:rPr>
              <w:t>南非</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43</w:t>
            </w:r>
          </w:p>
        </w:tc>
        <w:tc>
          <w:tcPr>
            <w:tcW w:w="12223" w:type="dxa"/>
          </w:tcPr>
          <w:p w:rsidR="00B907F0" w:rsidRPr="00FD3865" w:rsidRDefault="00B907F0">
            <w:r w:rsidRPr="00FD3865">
              <w:rPr>
                <w:rFonts w:hint="eastAsia"/>
              </w:rPr>
              <w:t>南非允许接收电子植物检疫证书。南非电子认证系统开发了一个模块，允许接收通过</w:t>
            </w:r>
            <w:r w:rsidRPr="00FD3865">
              <w:t>IPPC</w:t>
            </w:r>
            <w:r w:rsidRPr="00FD3865">
              <w:rPr>
                <w:rFonts w:hint="eastAsia"/>
              </w:rPr>
              <w:t>中心发送的电子植物检疫证书。</w:t>
            </w:r>
            <w:r w:rsidRPr="00FD3865">
              <w:t xml:space="preserve"> </w:t>
            </w:r>
            <w:r w:rsidRPr="00FD3865">
              <w:rPr>
                <w:rFonts w:hint="eastAsia"/>
              </w:rPr>
              <w:t>贸易伙伴应注意，他们现在可以通过电子方式向</w:t>
            </w:r>
            <w:r w:rsidRPr="00FD3865">
              <w:t>NPPOZA</w:t>
            </w:r>
            <w:r w:rsidRPr="00FD3865">
              <w:rPr>
                <w:rFonts w:hint="eastAsia"/>
              </w:rPr>
              <w:t>发送植物检疫证书（电子植物检疫证书）。</w:t>
            </w:r>
          </w:p>
        </w:tc>
      </w:tr>
      <w:tr w:rsidR="00B907F0" w:rsidTr="008E796A">
        <w:tc>
          <w:tcPr>
            <w:tcW w:w="1384" w:type="dxa"/>
            <w:vAlign w:val="center"/>
          </w:tcPr>
          <w:p w:rsidR="00B907F0" w:rsidRPr="008E796A" w:rsidRDefault="00B907F0" w:rsidP="008E796A">
            <w:pPr>
              <w:jc w:val="center"/>
              <w:rPr>
                <w:b/>
              </w:rPr>
            </w:pPr>
            <w:r w:rsidRPr="008E796A">
              <w:rPr>
                <w:rFonts w:hint="eastAsia"/>
                <w:b/>
              </w:rPr>
              <w:t>新西兰</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44</w:t>
            </w:r>
          </w:p>
        </w:tc>
        <w:tc>
          <w:tcPr>
            <w:tcW w:w="12223" w:type="dxa"/>
          </w:tcPr>
          <w:p w:rsidR="00B907F0" w:rsidRPr="00FD3865" w:rsidRDefault="00B907F0">
            <w:r w:rsidRPr="00FD3865">
              <w:rPr>
                <w:rFonts w:hint="eastAsia"/>
              </w:rPr>
              <w:t>新西兰制定苗木的进口规范和入境条件。本标准列出了有关进口至新西兰的苗木（全株、插条、鳞茎和组织培养）的进口规范和入境条件。</w:t>
            </w:r>
          </w:p>
        </w:tc>
      </w:tr>
      <w:tr w:rsidR="00B907F0" w:rsidTr="008E796A">
        <w:tc>
          <w:tcPr>
            <w:tcW w:w="1384" w:type="dxa"/>
            <w:vMerge w:val="restart"/>
            <w:vAlign w:val="center"/>
          </w:tcPr>
          <w:p w:rsidR="00B907F0" w:rsidRDefault="00B907F0" w:rsidP="008E796A">
            <w:pPr>
              <w:jc w:val="center"/>
            </w:pPr>
            <w:r w:rsidRPr="008E796A">
              <w:rPr>
                <w:rFonts w:hint="eastAsia"/>
                <w:b/>
              </w:rPr>
              <w:t>加拿大</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45</w:t>
            </w:r>
          </w:p>
        </w:tc>
        <w:tc>
          <w:tcPr>
            <w:tcW w:w="12223" w:type="dxa"/>
          </w:tcPr>
          <w:p w:rsidR="00B907F0" w:rsidRPr="00FD3865" w:rsidRDefault="00B907F0">
            <w:r w:rsidRPr="00FD3865">
              <w:rPr>
                <w:rFonts w:hint="eastAsia"/>
              </w:rPr>
              <w:t>加拿大制定苯并烯氟菌唑最大残留限量。拟定苯并烯氟菌唑最大残留限量（</w:t>
            </w:r>
            <w:r w:rsidRPr="00FD3865">
              <w:t>PMRL</w:t>
            </w:r>
            <w:r w:rsidRPr="00FD3865">
              <w:rPr>
                <w:rFonts w:hint="eastAsia"/>
              </w:rPr>
              <w:t>）文件（通报号</w:t>
            </w:r>
            <w:r w:rsidRPr="00FD3865">
              <w:t>G/SPS/N/CAN/1404</w:t>
            </w:r>
            <w:r w:rsidRPr="00FD3865">
              <w:rPr>
                <w:rFonts w:hint="eastAsia"/>
              </w:rPr>
              <w:t>，</w:t>
            </w:r>
            <w:r w:rsidRPr="00FD3865">
              <w:t>2021</w:t>
            </w:r>
            <w:r w:rsidRPr="00FD3865">
              <w:rPr>
                <w:rFonts w:hint="eastAsia"/>
              </w:rPr>
              <w:t>年</w:t>
            </w:r>
            <w:r w:rsidRPr="00FD3865">
              <w:t>7</w:t>
            </w:r>
            <w:r w:rsidRPr="00FD3865">
              <w:rPr>
                <w:rFonts w:hint="eastAsia"/>
              </w:rPr>
              <w:t>月</w:t>
            </w:r>
            <w:r w:rsidRPr="00FD3865">
              <w:t>16</w:t>
            </w:r>
            <w:r w:rsidRPr="00FD3865">
              <w:rPr>
                <w:rFonts w:hint="eastAsia"/>
              </w:rPr>
              <w:t>日）于</w:t>
            </w:r>
            <w:r w:rsidRPr="00FD3865">
              <w:t>2022</w:t>
            </w:r>
            <w:r w:rsidRPr="00FD3865">
              <w:rPr>
                <w:rFonts w:hint="eastAsia"/>
              </w:rPr>
              <w:t>年</w:t>
            </w:r>
            <w:r w:rsidRPr="00FD3865">
              <w:t>2</w:t>
            </w:r>
            <w:r w:rsidRPr="00FD3865">
              <w:rPr>
                <w:rFonts w:hint="eastAsia"/>
              </w:rPr>
              <w:t>月</w:t>
            </w:r>
            <w:r w:rsidRPr="00FD3865">
              <w:t>15</w:t>
            </w:r>
            <w:r w:rsidRPr="00FD3865">
              <w:rPr>
                <w:rFonts w:hint="eastAsia"/>
              </w:rPr>
              <w:t>日通过。拟定最大残留限量已录入最大残留限量数据库，具体规定如下：</w:t>
            </w:r>
            <w:r w:rsidRPr="00FD3865">
              <w:t xml:space="preserve"> MRL (ppm)1 </w:t>
            </w:r>
            <w:r w:rsidRPr="00FD3865">
              <w:rPr>
                <w:rFonts w:hint="eastAsia"/>
              </w:rPr>
              <w:t>未加工农产品（</w:t>
            </w:r>
            <w:r w:rsidRPr="00FD3865">
              <w:t>RAC</w:t>
            </w:r>
            <w:r w:rsidRPr="00FD3865">
              <w:rPr>
                <w:rFonts w:hint="eastAsia"/>
              </w:rPr>
              <w:t>）和</w:t>
            </w:r>
            <w:r w:rsidRPr="00FD3865">
              <w:t>/</w:t>
            </w:r>
            <w:r w:rsidRPr="00FD3865">
              <w:rPr>
                <w:rFonts w:hint="eastAsia"/>
              </w:rPr>
              <w:t>或加工商品</w:t>
            </w:r>
            <w:r w:rsidRPr="00FD3865">
              <w:t xml:space="preserve"> 0.08 </w:t>
            </w:r>
            <w:r w:rsidRPr="00FD3865">
              <w:rPr>
                <w:rFonts w:hint="eastAsia"/>
              </w:rPr>
              <w:t>甜菜根</w:t>
            </w:r>
            <w:r w:rsidRPr="00FD3865">
              <w:t xml:space="preserve"> 1 ppm = </w:t>
            </w:r>
            <w:r w:rsidRPr="00FD3865">
              <w:rPr>
                <w:rFonts w:hint="eastAsia"/>
              </w:rPr>
              <w:t>百万分之一</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46</w:t>
            </w:r>
          </w:p>
        </w:tc>
        <w:tc>
          <w:tcPr>
            <w:tcW w:w="12223" w:type="dxa"/>
          </w:tcPr>
          <w:p w:rsidR="00B907F0" w:rsidRPr="00FD3865" w:rsidRDefault="00B907F0">
            <w:r w:rsidRPr="00FD3865">
              <w:rPr>
                <w:rFonts w:hint="eastAsia"/>
              </w:rPr>
              <w:t>加拿大制定唑嘧菌胺最大残留限量。拟定唑嘧菌胺最大残留限量（</w:t>
            </w:r>
            <w:r w:rsidRPr="00FD3865">
              <w:t>PMRL</w:t>
            </w:r>
            <w:r w:rsidRPr="00FD3865">
              <w:rPr>
                <w:rFonts w:hint="eastAsia"/>
              </w:rPr>
              <w:t>）文件（通报号</w:t>
            </w:r>
            <w:r w:rsidRPr="00FD3865">
              <w:t>G/SPS/N/CAN/1401</w:t>
            </w:r>
            <w:r w:rsidRPr="00FD3865">
              <w:rPr>
                <w:rFonts w:hint="eastAsia"/>
              </w:rPr>
              <w:t>，</w:t>
            </w:r>
            <w:r w:rsidRPr="00FD3865">
              <w:t>2021</w:t>
            </w:r>
            <w:r w:rsidRPr="00FD3865">
              <w:rPr>
                <w:rFonts w:hint="eastAsia"/>
              </w:rPr>
              <w:t>年</w:t>
            </w:r>
            <w:r w:rsidRPr="00FD3865">
              <w:t>7</w:t>
            </w:r>
            <w:r w:rsidRPr="00FD3865">
              <w:rPr>
                <w:rFonts w:hint="eastAsia"/>
              </w:rPr>
              <w:t>月</w:t>
            </w:r>
            <w:r w:rsidRPr="00FD3865">
              <w:t>8</w:t>
            </w:r>
            <w:r w:rsidRPr="00FD3865">
              <w:rPr>
                <w:rFonts w:hint="eastAsia"/>
              </w:rPr>
              <w:t>日）于</w:t>
            </w:r>
            <w:r w:rsidRPr="00FD3865">
              <w:t>2022</w:t>
            </w:r>
            <w:r w:rsidRPr="00FD3865">
              <w:rPr>
                <w:rFonts w:hint="eastAsia"/>
              </w:rPr>
              <w:t>年</w:t>
            </w:r>
            <w:r w:rsidRPr="00FD3865">
              <w:t>2</w:t>
            </w:r>
            <w:r w:rsidRPr="00FD3865">
              <w:rPr>
                <w:rFonts w:hint="eastAsia"/>
              </w:rPr>
              <w:t>月</w:t>
            </w:r>
            <w:r w:rsidRPr="00FD3865">
              <w:t>15</w:t>
            </w:r>
            <w:r w:rsidRPr="00FD3865">
              <w:rPr>
                <w:rFonts w:hint="eastAsia"/>
              </w:rPr>
              <w:t>日通过。拟定最大残留限量已录入最大残留限量数据库，具体规定如下：</w:t>
            </w:r>
            <w:r w:rsidRPr="00FD3865">
              <w:t xml:space="preserve"> MRL (ppm)1 </w:t>
            </w:r>
            <w:r w:rsidRPr="00FD3865">
              <w:rPr>
                <w:rFonts w:hint="eastAsia"/>
              </w:rPr>
              <w:t>未加工农产品（</w:t>
            </w:r>
            <w:r w:rsidRPr="00FD3865">
              <w:t>RAC</w:t>
            </w:r>
            <w:r w:rsidRPr="00FD3865">
              <w:rPr>
                <w:rFonts w:hint="eastAsia"/>
              </w:rPr>
              <w:t>）和</w:t>
            </w:r>
            <w:r w:rsidRPr="00FD3865">
              <w:t>/</w:t>
            </w:r>
            <w:r w:rsidRPr="00FD3865">
              <w:rPr>
                <w:rFonts w:hint="eastAsia"/>
              </w:rPr>
              <w:t>或加工商品</w:t>
            </w:r>
            <w:r w:rsidRPr="00FD3865">
              <w:t xml:space="preserve"> 3.0 </w:t>
            </w:r>
            <w:r w:rsidRPr="00FD3865">
              <w:rPr>
                <w:rFonts w:hint="eastAsia"/>
              </w:rPr>
              <w:t>蔓越莓（作物亚组</w:t>
            </w:r>
            <w:r w:rsidRPr="00FD3865">
              <w:t>13-07A</w:t>
            </w:r>
            <w:r w:rsidRPr="00FD3865">
              <w:rPr>
                <w:rFonts w:hint="eastAsia"/>
              </w:rPr>
              <w:t>）</w:t>
            </w:r>
            <w:r w:rsidRPr="00FD3865">
              <w:t xml:space="preserve"> 1 ppm =</w:t>
            </w:r>
            <w:r w:rsidRPr="00FD3865">
              <w:rPr>
                <w:rFonts w:hint="eastAsia"/>
              </w:rPr>
              <w:t>百万分之一</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47</w:t>
            </w:r>
          </w:p>
        </w:tc>
        <w:tc>
          <w:tcPr>
            <w:tcW w:w="12223" w:type="dxa"/>
          </w:tcPr>
          <w:p w:rsidR="00B907F0" w:rsidRPr="00FD3865" w:rsidRDefault="00B907F0">
            <w:r w:rsidRPr="00FD3865">
              <w:rPr>
                <w:rFonts w:hint="eastAsia"/>
              </w:rPr>
              <w:t>加拿大制定双炔酰菌胺最大残留限量。拟定双炔酰菌胺最大残留限量（</w:t>
            </w:r>
            <w:r w:rsidRPr="00FD3865">
              <w:t>PMRL</w:t>
            </w:r>
            <w:r w:rsidRPr="00FD3865">
              <w:rPr>
                <w:rFonts w:hint="eastAsia"/>
              </w:rPr>
              <w:t>）文件（通报号</w:t>
            </w:r>
            <w:r w:rsidRPr="00FD3865">
              <w:t>G/SPS/N/CAN/1403</w:t>
            </w:r>
            <w:r w:rsidRPr="00FD3865">
              <w:rPr>
                <w:rFonts w:hint="eastAsia"/>
              </w:rPr>
              <w:t>，</w:t>
            </w:r>
            <w:r w:rsidRPr="00FD3865">
              <w:t>2021</w:t>
            </w:r>
            <w:r w:rsidRPr="00FD3865">
              <w:rPr>
                <w:rFonts w:hint="eastAsia"/>
              </w:rPr>
              <w:t>年</w:t>
            </w:r>
            <w:r w:rsidRPr="00FD3865">
              <w:t>7</w:t>
            </w:r>
            <w:r w:rsidRPr="00FD3865">
              <w:rPr>
                <w:rFonts w:hint="eastAsia"/>
              </w:rPr>
              <w:t>月</w:t>
            </w:r>
            <w:r w:rsidRPr="00FD3865">
              <w:t>16</w:t>
            </w:r>
            <w:r w:rsidRPr="00FD3865">
              <w:rPr>
                <w:rFonts w:hint="eastAsia"/>
              </w:rPr>
              <w:t>日）于</w:t>
            </w:r>
            <w:r w:rsidRPr="00FD3865">
              <w:t>2022</w:t>
            </w:r>
            <w:r w:rsidRPr="00FD3865">
              <w:rPr>
                <w:rFonts w:hint="eastAsia"/>
              </w:rPr>
              <w:t>年</w:t>
            </w:r>
            <w:r w:rsidRPr="00FD3865">
              <w:t>2</w:t>
            </w:r>
            <w:r w:rsidRPr="00FD3865">
              <w:rPr>
                <w:rFonts w:hint="eastAsia"/>
              </w:rPr>
              <w:t>月</w:t>
            </w:r>
            <w:r w:rsidRPr="00FD3865">
              <w:t>15</w:t>
            </w:r>
            <w:r w:rsidRPr="00FD3865">
              <w:rPr>
                <w:rFonts w:hint="eastAsia"/>
              </w:rPr>
              <w:t>日通过。拟定最大残留限量已录入最大残留限量数据库，具体规定如下：</w:t>
            </w:r>
            <w:r w:rsidRPr="00FD3865">
              <w:t xml:space="preserve"> MRL (ppm)1 </w:t>
            </w:r>
            <w:r w:rsidRPr="00FD3865">
              <w:rPr>
                <w:rFonts w:hint="eastAsia"/>
              </w:rPr>
              <w:t>未加工农产品（</w:t>
            </w:r>
            <w:r w:rsidRPr="00FD3865">
              <w:t>RAC</w:t>
            </w:r>
            <w:r w:rsidRPr="00FD3865">
              <w:rPr>
                <w:rFonts w:hint="eastAsia"/>
              </w:rPr>
              <w:t>）和</w:t>
            </w:r>
            <w:r w:rsidRPr="00FD3865">
              <w:t>/</w:t>
            </w:r>
            <w:r w:rsidRPr="00FD3865">
              <w:rPr>
                <w:rFonts w:hint="eastAsia"/>
              </w:rPr>
              <w:t>或加工商品</w:t>
            </w:r>
            <w:r w:rsidRPr="00FD3865">
              <w:t xml:space="preserve"> 15 </w:t>
            </w:r>
            <w:r w:rsidRPr="00FD3865">
              <w:rPr>
                <w:rFonts w:hint="eastAsia"/>
              </w:rPr>
              <w:t>柑橘油</w:t>
            </w:r>
            <w:r w:rsidRPr="00FD3865">
              <w:t xml:space="preserve"> 0.5 </w:t>
            </w:r>
            <w:r w:rsidRPr="00FD3865">
              <w:rPr>
                <w:rFonts w:hint="eastAsia"/>
              </w:rPr>
              <w:t>柑橘类水果（作物组</w:t>
            </w:r>
            <w:r w:rsidRPr="00FD3865">
              <w:t>10</w:t>
            </w:r>
            <w:r w:rsidRPr="00FD3865">
              <w:rPr>
                <w:rFonts w:hint="eastAsia"/>
              </w:rPr>
              <w:t>）（修订版）</w:t>
            </w:r>
            <w:r w:rsidRPr="00FD3865">
              <w:t xml:space="preserve"> 1 ppm =</w:t>
            </w:r>
            <w:r w:rsidRPr="00FD3865">
              <w:rPr>
                <w:rFonts w:hint="eastAsia"/>
              </w:rPr>
              <w:t>百万分之一</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48</w:t>
            </w:r>
          </w:p>
        </w:tc>
        <w:tc>
          <w:tcPr>
            <w:tcW w:w="12223" w:type="dxa"/>
          </w:tcPr>
          <w:p w:rsidR="00B907F0" w:rsidRPr="008E796A" w:rsidRDefault="00B907F0">
            <w:pPr>
              <w:rPr>
                <w:rFonts w:ascii="宋体" w:cs="宋体"/>
                <w:sz w:val="22"/>
                <w:szCs w:val="22"/>
              </w:rPr>
            </w:pPr>
            <w:r w:rsidRPr="008E796A">
              <w:rPr>
                <w:rFonts w:hint="eastAsia"/>
                <w:color w:val="000000"/>
                <w:sz w:val="22"/>
                <w:szCs w:val="22"/>
              </w:rPr>
              <w:t>加拿大修改</w:t>
            </w:r>
            <w:r w:rsidRPr="008E796A">
              <w:rPr>
                <w:color w:val="000000"/>
                <w:sz w:val="22"/>
                <w:szCs w:val="22"/>
              </w:rPr>
              <w:t>2016</w:t>
            </w:r>
            <w:r w:rsidRPr="008E796A">
              <w:rPr>
                <w:rFonts w:hint="eastAsia"/>
                <w:color w:val="000000"/>
                <w:sz w:val="22"/>
                <w:szCs w:val="22"/>
              </w:rPr>
              <w:t>年《能效法规》。</w:t>
            </w:r>
            <w:r w:rsidRPr="008E796A">
              <w:rPr>
                <w:color w:val="000000"/>
                <w:sz w:val="22"/>
                <w:szCs w:val="22"/>
              </w:rPr>
              <w:t>2016</w:t>
            </w:r>
            <w:r w:rsidRPr="008E796A">
              <w:rPr>
                <w:rFonts w:hint="eastAsia"/>
                <w:color w:val="000000"/>
                <w:sz w:val="22"/>
                <w:szCs w:val="22"/>
              </w:rPr>
              <w:t>年《能效法规》（以下称《法规》）规定了住宅、商用和工业耗能产品能效标准。它们还规定了某些产品的标识要求，以披露和比较指定产品型号相对于该类别其他型号的能耗情况。定期修订本《法规》以引入或更新能效和检测标准。本拟定修正案将更新主要用于住宅领域的中央空调和中央热泵的能效和检测标准，以防止未来加拿大和美国监管之间出现不必要的差异。此外，本修正案还对当前受管制产品作出了其他较小改动，以解决已知加拿大要求中存在的问题，从而确保本《法规》与已经预期的美国法规更加明确一致。最后，本修正案将明确耗能产品，以使部长能够自行行使部长监管权来保持另一司法管辖区的要求协调一致。</w:t>
            </w:r>
          </w:p>
        </w:tc>
      </w:tr>
      <w:tr w:rsidR="00B907F0" w:rsidTr="008E796A">
        <w:tc>
          <w:tcPr>
            <w:tcW w:w="1384" w:type="dxa"/>
            <w:vAlign w:val="center"/>
          </w:tcPr>
          <w:p w:rsidR="00B907F0" w:rsidRDefault="00B907F0" w:rsidP="008E796A">
            <w:pPr>
              <w:jc w:val="center"/>
            </w:pPr>
            <w:r w:rsidRPr="008E796A">
              <w:rPr>
                <w:rFonts w:hint="eastAsia"/>
                <w:b/>
              </w:rPr>
              <w:t>肯尼亚</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49</w:t>
            </w:r>
          </w:p>
        </w:tc>
        <w:tc>
          <w:tcPr>
            <w:tcW w:w="12223" w:type="dxa"/>
          </w:tcPr>
          <w:p w:rsidR="00B907F0" w:rsidRPr="008E796A" w:rsidRDefault="00B907F0">
            <w:pPr>
              <w:rPr>
                <w:rFonts w:ascii="宋体" w:cs="宋体"/>
                <w:sz w:val="22"/>
                <w:szCs w:val="22"/>
              </w:rPr>
            </w:pPr>
            <w:r w:rsidRPr="008E796A">
              <w:rPr>
                <w:rFonts w:hint="eastAsia"/>
                <w:color w:val="000000"/>
                <w:sz w:val="22"/>
                <w:szCs w:val="22"/>
              </w:rPr>
              <w:t>肯尼亚发布进口一般货物目的地检验手册。</w:t>
            </w:r>
            <w:r w:rsidRPr="008E796A">
              <w:rPr>
                <w:color w:val="000000"/>
                <w:sz w:val="22"/>
                <w:szCs w:val="22"/>
              </w:rPr>
              <w:t>2022</w:t>
            </w:r>
            <w:r w:rsidRPr="008E796A">
              <w:rPr>
                <w:rFonts w:hint="eastAsia"/>
                <w:color w:val="000000"/>
                <w:sz w:val="22"/>
                <w:szCs w:val="22"/>
              </w:rPr>
              <w:t>年</w:t>
            </w:r>
            <w:r w:rsidRPr="008E796A">
              <w:rPr>
                <w:color w:val="000000"/>
                <w:sz w:val="22"/>
                <w:szCs w:val="22"/>
              </w:rPr>
              <w:t>3</w:t>
            </w:r>
            <w:r w:rsidRPr="008E796A">
              <w:rPr>
                <w:rFonts w:hint="eastAsia"/>
                <w:color w:val="000000"/>
                <w:sz w:val="22"/>
                <w:szCs w:val="22"/>
              </w:rPr>
              <w:t>月</w:t>
            </w:r>
            <w:r w:rsidRPr="008E796A">
              <w:rPr>
                <w:color w:val="000000"/>
                <w:sz w:val="22"/>
                <w:szCs w:val="22"/>
              </w:rPr>
              <w:t>23</w:t>
            </w:r>
            <w:r w:rsidRPr="008E796A">
              <w:rPr>
                <w:rFonts w:hint="eastAsia"/>
                <w:color w:val="000000"/>
                <w:sz w:val="22"/>
                <w:szCs w:val="22"/>
              </w:rPr>
              <w:t>日，肯尼亚国家标准局（</w:t>
            </w:r>
            <w:r w:rsidRPr="008E796A">
              <w:rPr>
                <w:color w:val="000000"/>
                <w:sz w:val="22"/>
                <w:szCs w:val="22"/>
              </w:rPr>
              <w:t>KEBS</w:t>
            </w:r>
            <w:r w:rsidRPr="008E796A">
              <w:rPr>
                <w:rFonts w:hint="eastAsia"/>
                <w:color w:val="000000"/>
                <w:sz w:val="22"/>
                <w:szCs w:val="22"/>
              </w:rPr>
              <w:t>）发布《进口一般货物目的地检验手册》，并于</w:t>
            </w:r>
            <w:r w:rsidRPr="008E796A">
              <w:rPr>
                <w:color w:val="000000"/>
                <w:sz w:val="22"/>
                <w:szCs w:val="22"/>
              </w:rPr>
              <w:t>2022</w:t>
            </w:r>
            <w:r w:rsidRPr="008E796A">
              <w:rPr>
                <w:rFonts w:hint="eastAsia"/>
                <w:color w:val="000000"/>
                <w:sz w:val="22"/>
                <w:szCs w:val="22"/>
              </w:rPr>
              <w:t>年</w:t>
            </w:r>
            <w:r w:rsidRPr="008E796A">
              <w:rPr>
                <w:color w:val="000000"/>
                <w:sz w:val="22"/>
                <w:szCs w:val="22"/>
              </w:rPr>
              <w:t>4</w:t>
            </w:r>
            <w:r w:rsidRPr="008E796A">
              <w:rPr>
                <w:rFonts w:hint="eastAsia"/>
                <w:color w:val="000000"/>
                <w:sz w:val="22"/>
                <w:szCs w:val="22"/>
              </w:rPr>
              <w:t>月</w:t>
            </w:r>
            <w:r w:rsidRPr="008E796A">
              <w:rPr>
                <w:color w:val="000000"/>
                <w:sz w:val="22"/>
                <w:szCs w:val="22"/>
              </w:rPr>
              <w:t>1</w:t>
            </w:r>
            <w:r w:rsidRPr="008E796A">
              <w:rPr>
                <w:rFonts w:hint="eastAsia"/>
                <w:color w:val="000000"/>
                <w:sz w:val="22"/>
                <w:szCs w:val="22"/>
              </w:rPr>
              <w:t>日生效。</w:t>
            </w:r>
            <w:r w:rsidRPr="008E796A">
              <w:rPr>
                <w:color w:val="000000"/>
                <w:sz w:val="22"/>
                <w:szCs w:val="22"/>
              </w:rPr>
              <w:t xml:space="preserve"> </w:t>
            </w:r>
            <w:r w:rsidRPr="008E796A">
              <w:rPr>
                <w:rFonts w:hint="eastAsia"/>
                <w:color w:val="000000"/>
                <w:sz w:val="22"/>
                <w:szCs w:val="22"/>
              </w:rPr>
              <w:t>其中涉及进口食品内容包括：</w:t>
            </w:r>
            <w:r w:rsidRPr="008E796A">
              <w:rPr>
                <w:color w:val="000000"/>
                <w:sz w:val="22"/>
                <w:szCs w:val="22"/>
              </w:rPr>
              <w:t xml:space="preserve"> </w:t>
            </w:r>
            <w:r w:rsidRPr="008E796A">
              <w:rPr>
                <w:rFonts w:hint="eastAsia"/>
                <w:color w:val="000000"/>
                <w:sz w:val="22"/>
                <w:szCs w:val="22"/>
              </w:rPr>
              <w:t>（</w:t>
            </w:r>
            <w:r w:rsidRPr="008E796A">
              <w:rPr>
                <w:color w:val="000000"/>
                <w:sz w:val="22"/>
                <w:szCs w:val="22"/>
              </w:rPr>
              <w:t>1</w:t>
            </w:r>
            <w:r w:rsidRPr="008E796A">
              <w:rPr>
                <w:rFonts w:hint="eastAsia"/>
                <w:color w:val="000000"/>
                <w:sz w:val="22"/>
                <w:szCs w:val="22"/>
              </w:rPr>
              <w:t>）该手册适用于从</w:t>
            </w:r>
            <w:r w:rsidRPr="008E796A">
              <w:rPr>
                <w:color w:val="000000"/>
                <w:sz w:val="22"/>
                <w:szCs w:val="22"/>
              </w:rPr>
              <w:t>KEBS</w:t>
            </w:r>
            <w:r w:rsidRPr="008E796A">
              <w:rPr>
                <w:rFonts w:hint="eastAsia"/>
                <w:color w:val="000000"/>
                <w:sz w:val="22"/>
                <w:szCs w:val="22"/>
              </w:rPr>
              <w:t>没有预检安排的国家进口的货物，适用于由</w:t>
            </w:r>
            <w:r w:rsidRPr="008E796A">
              <w:rPr>
                <w:color w:val="000000"/>
                <w:sz w:val="22"/>
                <w:szCs w:val="22"/>
              </w:rPr>
              <w:t>KEBS</w:t>
            </w:r>
            <w:r w:rsidRPr="008E796A">
              <w:rPr>
                <w:rFonts w:hint="eastAsia"/>
                <w:color w:val="000000"/>
                <w:sz w:val="22"/>
                <w:szCs w:val="22"/>
              </w:rPr>
              <w:t>监管的入境口岸；</w:t>
            </w:r>
            <w:r w:rsidRPr="008E796A">
              <w:rPr>
                <w:color w:val="000000"/>
                <w:sz w:val="22"/>
                <w:szCs w:val="22"/>
              </w:rPr>
              <w:t xml:space="preserve"> </w:t>
            </w:r>
            <w:r w:rsidRPr="008E796A">
              <w:rPr>
                <w:rFonts w:hint="eastAsia"/>
                <w:color w:val="000000"/>
                <w:sz w:val="22"/>
                <w:szCs w:val="22"/>
              </w:rPr>
              <w:t>（</w:t>
            </w:r>
            <w:r w:rsidRPr="008E796A">
              <w:rPr>
                <w:color w:val="000000"/>
                <w:sz w:val="22"/>
                <w:szCs w:val="22"/>
              </w:rPr>
              <w:t>2</w:t>
            </w:r>
            <w:r w:rsidRPr="008E796A">
              <w:rPr>
                <w:rFonts w:hint="eastAsia"/>
                <w:color w:val="000000"/>
                <w:sz w:val="22"/>
                <w:szCs w:val="22"/>
              </w:rPr>
              <w:t>）入境货物按风险等级可分别采用审单放行、审单加随机查验或抽检、批批查验或抽检等入境检查模式；</w:t>
            </w:r>
            <w:r w:rsidRPr="008E796A">
              <w:rPr>
                <w:color w:val="000000"/>
                <w:sz w:val="22"/>
                <w:szCs w:val="22"/>
              </w:rPr>
              <w:t xml:space="preserve"> </w:t>
            </w:r>
            <w:r w:rsidRPr="008E796A">
              <w:rPr>
                <w:rFonts w:hint="eastAsia"/>
                <w:color w:val="000000"/>
                <w:sz w:val="22"/>
                <w:szCs w:val="22"/>
              </w:rPr>
              <w:t>（</w:t>
            </w:r>
            <w:r w:rsidRPr="008E796A">
              <w:rPr>
                <w:color w:val="000000"/>
                <w:sz w:val="22"/>
                <w:szCs w:val="22"/>
              </w:rPr>
              <w:t>3</w:t>
            </w:r>
            <w:r w:rsidRPr="008E796A">
              <w:rPr>
                <w:rFonts w:hint="eastAsia"/>
                <w:color w:val="000000"/>
                <w:sz w:val="22"/>
                <w:szCs w:val="22"/>
              </w:rPr>
              <w:t>）高风险货物须在口岸批批查验或抽检合格后才能取得入境认证，包括动物产品和水产品（新鲜或冷冻，且未进一步加工）、散装谷物和豆类、鲜乳制品；</w:t>
            </w:r>
            <w:r w:rsidRPr="008E796A">
              <w:rPr>
                <w:color w:val="000000"/>
                <w:sz w:val="22"/>
                <w:szCs w:val="22"/>
              </w:rPr>
              <w:t xml:space="preserve"> </w:t>
            </w:r>
            <w:r w:rsidRPr="008E796A">
              <w:rPr>
                <w:rFonts w:hint="eastAsia"/>
                <w:color w:val="000000"/>
                <w:sz w:val="22"/>
                <w:szCs w:val="22"/>
              </w:rPr>
              <w:t>（</w:t>
            </w:r>
            <w:r w:rsidRPr="008E796A">
              <w:rPr>
                <w:color w:val="000000"/>
                <w:sz w:val="22"/>
                <w:szCs w:val="22"/>
              </w:rPr>
              <w:t>4</w:t>
            </w:r>
            <w:r w:rsidRPr="008E796A">
              <w:rPr>
                <w:rFonts w:hint="eastAsia"/>
                <w:color w:val="000000"/>
                <w:sz w:val="22"/>
                <w:szCs w:val="22"/>
              </w:rPr>
              <w:t>）进口食品应符合</w:t>
            </w:r>
            <w:r w:rsidRPr="008E796A">
              <w:rPr>
                <w:color w:val="000000"/>
                <w:sz w:val="22"/>
                <w:szCs w:val="22"/>
              </w:rPr>
              <w:t>KEBS</w:t>
            </w:r>
            <w:r w:rsidRPr="008E796A">
              <w:rPr>
                <w:rFonts w:hint="eastAsia"/>
                <w:color w:val="000000"/>
                <w:sz w:val="22"/>
                <w:szCs w:val="22"/>
              </w:rPr>
              <w:t>发布的合格评定要求（</w:t>
            </w:r>
            <w:r w:rsidRPr="008E796A">
              <w:rPr>
                <w:color w:val="000000"/>
                <w:sz w:val="22"/>
                <w:szCs w:val="22"/>
              </w:rPr>
              <w:t>PVOC</w:t>
            </w:r>
            <w:r w:rsidRPr="008E796A">
              <w:rPr>
                <w:rFonts w:hint="eastAsia"/>
                <w:color w:val="000000"/>
                <w:sz w:val="22"/>
                <w:szCs w:val="22"/>
              </w:rPr>
              <w:t>），除了附件</w:t>
            </w:r>
            <w:r w:rsidRPr="008E796A">
              <w:rPr>
                <w:color w:val="000000"/>
                <w:sz w:val="22"/>
                <w:szCs w:val="22"/>
              </w:rPr>
              <w:t>1</w:t>
            </w:r>
            <w:r w:rsidRPr="008E796A">
              <w:rPr>
                <w:rFonts w:hint="eastAsia"/>
                <w:color w:val="000000"/>
                <w:sz w:val="22"/>
                <w:szCs w:val="22"/>
              </w:rPr>
              <w:t>中豁免的情形，未被</w:t>
            </w:r>
            <w:r w:rsidRPr="008E796A">
              <w:rPr>
                <w:color w:val="000000"/>
                <w:sz w:val="22"/>
                <w:szCs w:val="22"/>
              </w:rPr>
              <w:t>PVOC</w:t>
            </w:r>
            <w:r w:rsidRPr="008E796A">
              <w:rPr>
                <w:rFonts w:hint="eastAsia"/>
                <w:color w:val="000000"/>
                <w:sz w:val="22"/>
                <w:szCs w:val="22"/>
              </w:rPr>
              <w:t>涵盖的产品应符合相应主管部门的要求，如肉制品受兽医服务局监管，水产品受渔业局监管。</w:t>
            </w:r>
          </w:p>
        </w:tc>
      </w:tr>
      <w:tr w:rsidR="00B907F0" w:rsidTr="008E796A">
        <w:tc>
          <w:tcPr>
            <w:tcW w:w="1384" w:type="dxa"/>
          </w:tcPr>
          <w:p w:rsidR="00B907F0" w:rsidRDefault="00B907F0" w:rsidP="008E796A">
            <w:pPr>
              <w:jc w:val="center"/>
            </w:pPr>
            <w:r w:rsidRPr="008E796A">
              <w:rPr>
                <w:rFonts w:hint="eastAsia"/>
                <w:b/>
              </w:rPr>
              <w:t>韩国</w:t>
            </w:r>
          </w:p>
        </w:tc>
        <w:tc>
          <w:tcPr>
            <w:tcW w:w="567" w:type="dxa"/>
          </w:tcPr>
          <w:p w:rsidR="00B907F0" w:rsidRPr="008E796A" w:rsidRDefault="00B907F0" w:rsidP="008E796A">
            <w:pPr>
              <w:jc w:val="center"/>
              <w:rPr>
                <w:rFonts w:ascii="宋体" w:hAnsi="宋体"/>
                <w:b/>
                <w:sz w:val="24"/>
              </w:rPr>
            </w:pPr>
            <w:r w:rsidRPr="008E796A">
              <w:rPr>
                <w:rFonts w:ascii="宋体" w:hAnsi="宋体"/>
                <w:b/>
                <w:sz w:val="24"/>
              </w:rPr>
              <w:t>50</w:t>
            </w:r>
          </w:p>
        </w:tc>
        <w:tc>
          <w:tcPr>
            <w:tcW w:w="12223" w:type="dxa"/>
          </w:tcPr>
          <w:p w:rsidR="00B907F0" w:rsidRPr="00FD3865" w:rsidRDefault="00B907F0">
            <w:r w:rsidRPr="00FD3865">
              <w:rPr>
                <w:rFonts w:hint="eastAsia"/>
              </w:rPr>
              <w:t>韩国修订《保健功能食品的标识标准》。保健功能食品标识主要修订如下：</w:t>
            </w:r>
            <w:r w:rsidRPr="00FD3865">
              <w:t>1.</w:t>
            </w:r>
            <w:r w:rsidRPr="00FD3865">
              <w:rPr>
                <w:rFonts w:hint="eastAsia"/>
              </w:rPr>
              <w:t>产品含有或可能含有食物过敏原</w:t>
            </w:r>
            <w:r w:rsidRPr="00FD3865">
              <w:t>2.</w:t>
            </w:r>
            <w:r w:rsidRPr="00FD3865">
              <w:rPr>
                <w:rFonts w:hint="eastAsia"/>
              </w:rPr>
              <w:t>益生菌产品功能成分。</w:t>
            </w:r>
          </w:p>
        </w:tc>
      </w:tr>
      <w:tr w:rsidR="00B907F0" w:rsidTr="008E796A">
        <w:tc>
          <w:tcPr>
            <w:tcW w:w="1384" w:type="dxa"/>
            <w:vMerge w:val="restart"/>
            <w:vAlign w:val="center"/>
          </w:tcPr>
          <w:p w:rsidR="00B907F0" w:rsidRPr="008E796A" w:rsidRDefault="00B907F0" w:rsidP="008E796A">
            <w:pPr>
              <w:jc w:val="center"/>
              <w:rPr>
                <w:b/>
              </w:rPr>
            </w:pPr>
            <w:r w:rsidRPr="008E796A">
              <w:rPr>
                <w:rFonts w:hint="eastAsia"/>
                <w:b/>
              </w:rPr>
              <w:t>菲律宾</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51</w:t>
            </w:r>
          </w:p>
        </w:tc>
        <w:tc>
          <w:tcPr>
            <w:tcW w:w="12223" w:type="dxa"/>
          </w:tcPr>
          <w:p w:rsidR="00B907F0" w:rsidRPr="00FD3865" w:rsidRDefault="00B907F0">
            <w:r w:rsidRPr="00FD3865">
              <w:rPr>
                <w:rFonts w:hint="eastAsia"/>
              </w:rPr>
              <w:t>菲律宾简化处理东盟成员国国家监管部门批准的医疗器械的注册</w:t>
            </w:r>
            <w:r w:rsidRPr="00FD3865">
              <w:t>/</w:t>
            </w:r>
            <w:r w:rsidRPr="00FD3865">
              <w:rPr>
                <w:rFonts w:hint="eastAsia"/>
              </w:rPr>
              <w:t>通报申请。</w:t>
            </w:r>
            <w:r w:rsidRPr="00FD3865">
              <w:t xml:space="preserve"> </w:t>
            </w:r>
            <w:r w:rsidRPr="00FD3865">
              <w:rPr>
                <w:rFonts w:hint="eastAsia"/>
              </w:rPr>
              <w:t>该通告旨在在医疗器械监管流程中采取良好实践措施。尤其需要注意的是，该通告计划针对东盟成员国国家监管部门已依据东盟医疗器械指令</w:t>
            </w:r>
            <w:r w:rsidRPr="00FD3865">
              <w:t>——</w:t>
            </w:r>
            <w:r w:rsidRPr="00FD3865">
              <w:rPr>
                <w:rFonts w:hint="eastAsia"/>
              </w:rPr>
              <w:t>通用提交档案模板，发布产品批准书的医疗器械提供注册申请简化流程指南。</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52</w:t>
            </w:r>
          </w:p>
        </w:tc>
        <w:tc>
          <w:tcPr>
            <w:tcW w:w="12223" w:type="dxa"/>
          </w:tcPr>
          <w:p w:rsidR="00B907F0" w:rsidRPr="00FD3865" w:rsidRDefault="00B907F0">
            <w:r w:rsidRPr="00FD3865">
              <w:rPr>
                <w:rFonts w:hint="eastAsia"/>
              </w:rPr>
              <w:t>菲律宾执行生物燃料国家标准规范</w:t>
            </w:r>
            <w:r w:rsidRPr="00FD3865">
              <w:t>-</w:t>
            </w:r>
            <w:r w:rsidRPr="00FD3865">
              <w:rPr>
                <w:rFonts w:hint="eastAsia"/>
              </w:rPr>
              <w:t>椰子油甲酯。本部门通告规定采用以下指南，以便有效实施椰子油甲酯</w:t>
            </w:r>
            <w:r w:rsidRPr="00FD3865">
              <w:t>PNS</w:t>
            </w:r>
            <w:r w:rsidRPr="00FD3865">
              <w:rPr>
                <w:rFonts w:hint="eastAsia"/>
              </w:rPr>
              <w:t>：</w:t>
            </w:r>
            <w:r w:rsidRPr="00FD3865">
              <w:t>1.</w:t>
            </w:r>
            <w:r w:rsidRPr="00FD3865">
              <w:rPr>
                <w:rFonts w:hint="eastAsia"/>
              </w:rPr>
              <w:t>只有符合</w:t>
            </w:r>
            <w:r w:rsidRPr="00FD3865">
              <w:t>PNS/DOEQS 002:2021</w:t>
            </w:r>
            <w:r w:rsidRPr="00FD3865">
              <w:rPr>
                <w:rFonts w:hint="eastAsia"/>
              </w:rPr>
              <w:t>的椰子油甲酯方可在菲律宾制造、销售、出售、分配或商用。经认证生物柴油生产商有责任确保所有交付的椰子油甲酯均随附由其签发的质量证书，以表明所交付椰子油甲酯完全符合</w:t>
            </w:r>
            <w:r w:rsidRPr="00FD3865">
              <w:t>PNS</w:t>
            </w:r>
            <w:r w:rsidRPr="00FD3865">
              <w:rPr>
                <w:rFonts w:hint="eastAsia"/>
              </w:rPr>
              <w:t>要求。</w:t>
            </w:r>
          </w:p>
        </w:tc>
      </w:tr>
      <w:tr w:rsidR="00B907F0" w:rsidTr="008E796A">
        <w:tc>
          <w:tcPr>
            <w:tcW w:w="1384" w:type="dxa"/>
            <w:vMerge w:val="restart"/>
            <w:vAlign w:val="center"/>
          </w:tcPr>
          <w:p w:rsidR="00B907F0" w:rsidRPr="008E796A" w:rsidRDefault="00B907F0" w:rsidP="008E796A">
            <w:pPr>
              <w:jc w:val="center"/>
              <w:rPr>
                <w:rFonts w:ascii="宋体" w:cs="宋体"/>
                <w:b/>
                <w:sz w:val="22"/>
                <w:szCs w:val="22"/>
              </w:rPr>
            </w:pPr>
            <w:r w:rsidRPr="008E796A">
              <w:rPr>
                <w:rFonts w:hint="eastAsia"/>
                <w:b/>
                <w:color w:val="000000"/>
                <w:sz w:val="22"/>
                <w:szCs w:val="22"/>
              </w:rPr>
              <w:t>台澎金马单独关税区</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53</w:t>
            </w:r>
          </w:p>
        </w:tc>
        <w:tc>
          <w:tcPr>
            <w:tcW w:w="12223" w:type="dxa"/>
          </w:tcPr>
          <w:p w:rsidR="00B907F0" w:rsidRPr="00FD3865" w:rsidRDefault="00B907F0">
            <w:r w:rsidRPr="00FD3865">
              <w:rPr>
                <w:rFonts w:hint="eastAsia"/>
              </w:rPr>
              <w:t>台澎金马单独关税区制定即热式电热水器和儿童雨衣商品检验标志二维码标识要求。</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54</w:t>
            </w:r>
          </w:p>
        </w:tc>
        <w:tc>
          <w:tcPr>
            <w:tcW w:w="12223" w:type="dxa"/>
          </w:tcPr>
          <w:p w:rsidR="00B907F0" w:rsidRPr="00FD3865" w:rsidRDefault="00B907F0">
            <w:r w:rsidRPr="00FD3865">
              <w:rPr>
                <w:rFonts w:hint="eastAsia"/>
              </w:rPr>
              <w:t>台澎金马单独关税区修订防火建筑材料检验要求。</w:t>
            </w:r>
            <w:r w:rsidRPr="00FD3865">
              <w:t xml:space="preserve"> </w:t>
            </w:r>
            <w:r w:rsidRPr="00FD3865">
              <w:rPr>
                <w:rFonts w:hint="eastAsia"/>
              </w:rPr>
              <w:t>为了提高目前需进行强制检验的防火建筑材料的性能以保护消费者，台湾经济部标准检验局（</w:t>
            </w:r>
            <w:r w:rsidRPr="00FD3865">
              <w:t>BSMI</w:t>
            </w:r>
            <w:r w:rsidRPr="00FD3865">
              <w:rPr>
                <w:rFonts w:hint="eastAsia"/>
              </w:rPr>
              <w:t>）计划将纤维水泥板、石膏板、水泥胶和细刨花</w:t>
            </w:r>
            <w:r w:rsidRPr="00FD3865">
              <w:t>/</w:t>
            </w:r>
            <w:r w:rsidRPr="00FD3865">
              <w:rPr>
                <w:rFonts w:hint="eastAsia"/>
              </w:rPr>
              <w:t>刨花板、硬质纤维板、隔热纤维板、纤维增强水泥板壁、纤维增强水泥板、再生纤维水泥板和吸音材料检验标准更新至</w:t>
            </w:r>
            <w:r w:rsidRPr="00FD3865">
              <w:t>2017</w:t>
            </w:r>
            <w:r w:rsidRPr="00FD3865">
              <w:rPr>
                <w:rFonts w:hint="eastAsia"/>
              </w:rPr>
              <w:t>年发布的现行版本。台湾经济部标准检验局同时计划采用型式认可</w:t>
            </w:r>
            <w:r w:rsidRPr="00FD3865">
              <w:t xml:space="preserve"> - </w:t>
            </w:r>
            <w:r w:rsidRPr="00FD3865">
              <w:rPr>
                <w:rFonts w:hint="eastAsia"/>
              </w:rPr>
              <w:t>逐批检验（</w:t>
            </w:r>
            <w:r w:rsidRPr="00FD3865">
              <w:t>TABI</w:t>
            </w:r>
            <w:r w:rsidRPr="00FD3865">
              <w:rPr>
                <w:rFonts w:hint="eastAsia"/>
              </w:rPr>
              <w:t>）程序，替代监控检验，以便加速清关。经营者依然可以依据自身需要选择使用产品认证注册替代程序（模块</w:t>
            </w:r>
            <w:r w:rsidRPr="00FD3865">
              <w:t>II+IV</w:t>
            </w:r>
            <w:r w:rsidRPr="00FD3865">
              <w:rPr>
                <w:rFonts w:hint="eastAsia"/>
              </w:rPr>
              <w:t>、</w:t>
            </w:r>
            <w:r w:rsidRPr="00FD3865">
              <w:t>II+V</w:t>
            </w:r>
            <w:r w:rsidRPr="00FD3865">
              <w:rPr>
                <w:rFonts w:hint="eastAsia"/>
              </w:rPr>
              <w:t>或者</w:t>
            </w:r>
            <w:r w:rsidRPr="00FD3865">
              <w:t>II+VII</w:t>
            </w:r>
            <w:r w:rsidRPr="00FD3865">
              <w:rPr>
                <w:rFonts w:hint="eastAsia"/>
              </w:rPr>
              <w:t>）。提议将玻镁板、珍珠岩板和岩棉面板从强制检验范围中删除。</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55</w:t>
            </w:r>
          </w:p>
        </w:tc>
        <w:tc>
          <w:tcPr>
            <w:tcW w:w="12223" w:type="dxa"/>
          </w:tcPr>
          <w:p w:rsidR="00B907F0" w:rsidRPr="00FD3865" w:rsidRDefault="00B907F0">
            <w:r w:rsidRPr="00FD3865">
              <w:rPr>
                <w:rFonts w:hint="eastAsia"/>
              </w:rPr>
              <w:t>台澎金马单独关税区修订重组和人造大理石花纹肉制品标识法规。</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56</w:t>
            </w:r>
          </w:p>
        </w:tc>
        <w:tc>
          <w:tcPr>
            <w:tcW w:w="12223" w:type="dxa"/>
          </w:tcPr>
          <w:p w:rsidR="00B907F0" w:rsidRPr="00FD3865" w:rsidRDefault="00B907F0">
            <w:r w:rsidRPr="00FD3865">
              <w:rPr>
                <w:rFonts w:hint="eastAsia"/>
              </w:rPr>
              <w:t>台澎金马单独关税区颁布食品原料用芦荟使用限制和标识要求法规。</w:t>
            </w:r>
          </w:p>
        </w:tc>
      </w:tr>
      <w:tr w:rsidR="00B907F0" w:rsidTr="008E796A">
        <w:tc>
          <w:tcPr>
            <w:tcW w:w="1384" w:type="dxa"/>
            <w:vMerge w:val="restart"/>
            <w:vAlign w:val="center"/>
          </w:tcPr>
          <w:p w:rsidR="00B907F0" w:rsidRDefault="00B907F0" w:rsidP="008E796A">
            <w:pPr>
              <w:jc w:val="center"/>
            </w:pPr>
            <w:r w:rsidRPr="008E796A">
              <w:rPr>
                <w:rFonts w:hint="eastAsia"/>
                <w:b/>
                <w:color w:val="000000"/>
                <w:sz w:val="22"/>
                <w:szCs w:val="22"/>
              </w:rPr>
              <w:t>中国</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57</w:t>
            </w:r>
          </w:p>
        </w:tc>
        <w:tc>
          <w:tcPr>
            <w:tcW w:w="12223" w:type="dxa"/>
          </w:tcPr>
          <w:p w:rsidR="00B907F0" w:rsidRPr="00FD3865" w:rsidRDefault="00B907F0">
            <w:r w:rsidRPr="00FD3865">
              <w:rPr>
                <w:rFonts w:hint="eastAsia"/>
              </w:rPr>
              <w:t>中国制定高风险特殊物品卫生检疫准入管理办法。该办法适用于含有或可能含有病原微生物的高风险特殊物品准入管理，包括首次准入申请及暂停后恢复申请。本办法明确了准入管理的主管机构及准入申请方，规定了准入程序，包括准入申请、问卷调查、风险评估、结果通报等，并且明确了海关总署对准入特殊物品的监督管理。</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58</w:t>
            </w:r>
          </w:p>
        </w:tc>
        <w:tc>
          <w:tcPr>
            <w:tcW w:w="12223" w:type="dxa"/>
          </w:tcPr>
          <w:p w:rsidR="00B907F0" w:rsidRPr="008E796A" w:rsidRDefault="00B907F0">
            <w:pPr>
              <w:rPr>
                <w:rFonts w:ascii="宋体" w:cs="宋体"/>
                <w:sz w:val="22"/>
                <w:szCs w:val="22"/>
              </w:rPr>
            </w:pPr>
            <w:r w:rsidRPr="00FD3865">
              <w:rPr>
                <w:rFonts w:hint="eastAsia"/>
              </w:rPr>
              <w:t>中国制定呼吸气体监护仪标准。该文件规定了预期连续运行，并应用于患者的呼吸气体监护仪</w:t>
            </w:r>
            <w:r w:rsidRPr="00FD3865">
              <w:t>(RGM)</w:t>
            </w:r>
            <w:r w:rsidRPr="00FD3865">
              <w:rPr>
                <w:rFonts w:hint="eastAsia"/>
              </w:rPr>
              <w:t>的基本安全和基本性能的特殊需求。</w:t>
            </w:r>
            <w:r w:rsidRPr="00FD3865">
              <w:t xml:space="preserve"> </w:t>
            </w:r>
            <w:r w:rsidRPr="00FD3865">
              <w:rPr>
                <w:rFonts w:hint="eastAsia"/>
              </w:rPr>
              <w:t>本文件规定了下列要求：</w:t>
            </w:r>
            <w:r w:rsidRPr="00FD3865">
              <w:t xml:space="preserve"> ——</w:t>
            </w:r>
            <w:r w:rsidRPr="00FD3865">
              <w:rPr>
                <w:rFonts w:hint="eastAsia"/>
              </w:rPr>
              <w:t>麻醉气体监测，</w:t>
            </w:r>
            <w:r w:rsidRPr="00FD3865">
              <w:t xml:space="preserve"> ——</w:t>
            </w:r>
            <w:r w:rsidRPr="00FD3865">
              <w:rPr>
                <w:rFonts w:hint="eastAsia"/>
              </w:rPr>
              <w:t>二氧化碳监测，和</w:t>
            </w:r>
            <w:r w:rsidRPr="00FD3865">
              <w:t xml:space="preserve"> ——</w:t>
            </w:r>
            <w:r w:rsidRPr="00FD3865">
              <w:rPr>
                <w:rFonts w:hint="eastAsia"/>
              </w:rPr>
              <w:t>氧气监测。注</w:t>
            </w:r>
            <w:r w:rsidRPr="00FD3865">
              <w:t xml:space="preserve"> 1</w:t>
            </w:r>
            <w:r w:rsidRPr="00FD3865">
              <w:rPr>
                <w:rFonts w:hint="eastAsia"/>
              </w:rPr>
              <w:t>：呼吸气体监护仪既能作为独立</w:t>
            </w:r>
            <w:r w:rsidRPr="00FD3865">
              <w:t>ME</w:t>
            </w:r>
            <w:r w:rsidRPr="00FD3865">
              <w:rPr>
                <w:rFonts w:hint="eastAsia"/>
              </w:rPr>
              <w:t>设备，也能集成到其他设备中，例如麻醉工作站或呼吸机。本文件不适用于预期与可燃性麻醉剂一起使用的呼吸气体监护仪。</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59</w:t>
            </w:r>
          </w:p>
        </w:tc>
        <w:tc>
          <w:tcPr>
            <w:tcW w:w="12223" w:type="dxa"/>
          </w:tcPr>
          <w:p w:rsidR="00B907F0" w:rsidRPr="008E796A" w:rsidRDefault="00B907F0">
            <w:pPr>
              <w:rPr>
                <w:rFonts w:ascii="宋体" w:cs="宋体"/>
                <w:sz w:val="22"/>
                <w:szCs w:val="22"/>
              </w:rPr>
            </w:pPr>
            <w:r w:rsidRPr="008E796A">
              <w:rPr>
                <w:rFonts w:hint="eastAsia"/>
                <w:color w:val="000000"/>
                <w:sz w:val="22"/>
                <w:szCs w:val="22"/>
              </w:rPr>
              <w:t>中国制定家用光治疗设备标准。该文件规定了家用光治疗设备的基本安全和基本性能，用于家庭护理环境。家用光治疗设备通常由非专业操作者使用。本文件适用于除激光以外的所有光源。</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60</w:t>
            </w:r>
          </w:p>
        </w:tc>
        <w:tc>
          <w:tcPr>
            <w:tcW w:w="12223" w:type="dxa"/>
          </w:tcPr>
          <w:p w:rsidR="00B907F0" w:rsidRPr="00155194" w:rsidRDefault="00B907F0">
            <w:r w:rsidRPr="00155194">
              <w:rPr>
                <w:rFonts w:hint="eastAsia"/>
              </w:rPr>
              <w:t>中国制定光动力治疗和光动力诊断设备标准。该文件适用于光动力治疗和光动力诊断设备，用于消除或减轻疾病、损伤或残疾。本文件不适用于：</w:t>
            </w:r>
            <w:r w:rsidRPr="00155194">
              <w:t xml:space="preserve"> </w:t>
            </w:r>
            <w:r w:rsidRPr="00155194">
              <w:rPr>
                <w:rFonts w:hint="eastAsia"/>
              </w:rPr>
              <w:t>用于光热消融、凝血和热疗的光治疗设备；</w:t>
            </w:r>
            <w:r w:rsidRPr="00155194">
              <w:t xml:space="preserve"> </w:t>
            </w:r>
            <w:r w:rsidRPr="00155194">
              <w:rPr>
                <w:rFonts w:hint="eastAsia"/>
              </w:rPr>
              <w:t>不与光敏剂配合使用的低强度激光治疗设备；</w:t>
            </w:r>
            <w:r w:rsidRPr="00155194">
              <w:t xml:space="preserve"> </w:t>
            </w:r>
            <w:r w:rsidRPr="00155194">
              <w:rPr>
                <w:rFonts w:hint="eastAsia"/>
              </w:rPr>
              <w:t>用于观察、监测和诊断的照明设备，但不与光敏剂配合使用。</w:t>
            </w:r>
          </w:p>
        </w:tc>
      </w:tr>
      <w:tr w:rsidR="00B907F0" w:rsidTr="008E796A">
        <w:tc>
          <w:tcPr>
            <w:tcW w:w="1384" w:type="dxa"/>
            <w:vAlign w:val="center"/>
          </w:tcPr>
          <w:p w:rsidR="00B907F0" w:rsidRPr="008E796A" w:rsidRDefault="00B907F0" w:rsidP="008E796A">
            <w:pPr>
              <w:jc w:val="center"/>
              <w:rPr>
                <w:b/>
              </w:rPr>
            </w:pPr>
            <w:r w:rsidRPr="008E796A">
              <w:rPr>
                <w:rFonts w:hint="eastAsia"/>
                <w:b/>
              </w:rPr>
              <w:t>土耳其</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61</w:t>
            </w:r>
          </w:p>
        </w:tc>
        <w:tc>
          <w:tcPr>
            <w:tcW w:w="12223" w:type="dxa"/>
          </w:tcPr>
          <w:p w:rsidR="00B907F0" w:rsidRPr="00155194" w:rsidRDefault="00B907F0">
            <w:r w:rsidRPr="00155194">
              <w:rPr>
                <w:rFonts w:hint="eastAsia"/>
              </w:rPr>
              <w:t>土耳其修订加工宠物食品的兽医卫生证书。宠物食品兽医卫生证书（通报号</w:t>
            </w:r>
            <w:r w:rsidRPr="00155194">
              <w:t>G/SPS/N/TUR/120</w:t>
            </w:r>
            <w:r w:rsidRPr="00155194">
              <w:rPr>
                <w:rFonts w:hint="eastAsia"/>
              </w:rPr>
              <w:t>）根据相关欧盟法律进行了修改。新的兽医卫生证书将于</w:t>
            </w:r>
            <w:r w:rsidRPr="00155194">
              <w:t>2022</w:t>
            </w:r>
            <w:r w:rsidRPr="00155194">
              <w:rPr>
                <w:rFonts w:hint="eastAsia"/>
              </w:rPr>
              <w:t>年</w:t>
            </w:r>
            <w:r w:rsidRPr="00155194">
              <w:t>4</w:t>
            </w:r>
            <w:r w:rsidRPr="00155194">
              <w:rPr>
                <w:rFonts w:hint="eastAsia"/>
              </w:rPr>
              <w:t>月</w:t>
            </w:r>
            <w:r w:rsidRPr="00155194">
              <w:t>15</w:t>
            </w:r>
            <w:r w:rsidRPr="00155194">
              <w:rPr>
                <w:rFonts w:hint="eastAsia"/>
              </w:rPr>
              <w:t>日生效，土耳其农业和林业部网站上公布的这些产品的旧的兽医卫生证书可以继续使用到</w:t>
            </w:r>
            <w:r w:rsidRPr="00155194">
              <w:t>2022</w:t>
            </w:r>
            <w:r w:rsidRPr="00155194">
              <w:rPr>
                <w:rFonts w:hint="eastAsia"/>
              </w:rPr>
              <w:t>年</w:t>
            </w:r>
            <w:r w:rsidRPr="00155194">
              <w:t>5</w:t>
            </w:r>
            <w:r w:rsidRPr="00155194">
              <w:rPr>
                <w:rFonts w:hint="eastAsia"/>
              </w:rPr>
              <w:t>月</w:t>
            </w:r>
            <w:r w:rsidRPr="00155194">
              <w:t>15</w:t>
            </w:r>
            <w:r w:rsidRPr="00155194">
              <w:rPr>
                <w:rFonts w:hint="eastAsia"/>
              </w:rPr>
              <w:t>日。这些更改阐明了对证书模板的解释。</w:t>
            </w:r>
            <w:r w:rsidRPr="00155194">
              <w:t xml:space="preserve"> 2022</w:t>
            </w:r>
            <w:r w:rsidRPr="00155194">
              <w:rPr>
                <w:rFonts w:hint="eastAsia"/>
              </w:rPr>
              <w:t>年</w:t>
            </w:r>
            <w:r w:rsidRPr="00155194">
              <w:t>5</w:t>
            </w:r>
            <w:r w:rsidRPr="00155194">
              <w:rPr>
                <w:rFonts w:hint="eastAsia"/>
              </w:rPr>
              <w:t>月</w:t>
            </w:r>
            <w:r w:rsidRPr="00155194">
              <w:t>15</w:t>
            </w:r>
            <w:r w:rsidRPr="00155194">
              <w:rPr>
                <w:rFonts w:hint="eastAsia"/>
              </w:rPr>
              <w:t>日之后只使用新的卫生证书。</w:t>
            </w:r>
          </w:p>
        </w:tc>
      </w:tr>
      <w:tr w:rsidR="00B907F0" w:rsidTr="008E796A">
        <w:tc>
          <w:tcPr>
            <w:tcW w:w="1384" w:type="dxa"/>
            <w:vAlign w:val="center"/>
          </w:tcPr>
          <w:p w:rsidR="00B907F0" w:rsidRPr="008E796A" w:rsidRDefault="00B907F0" w:rsidP="008E796A">
            <w:pPr>
              <w:jc w:val="center"/>
              <w:rPr>
                <w:b/>
              </w:rPr>
            </w:pPr>
            <w:r w:rsidRPr="008E796A">
              <w:rPr>
                <w:rFonts w:hint="eastAsia"/>
                <w:b/>
              </w:rPr>
              <w:t>智利</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62</w:t>
            </w:r>
          </w:p>
        </w:tc>
        <w:tc>
          <w:tcPr>
            <w:tcW w:w="12223" w:type="dxa"/>
          </w:tcPr>
          <w:p w:rsidR="00B907F0" w:rsidRPr="00155194" w:rsidRDefault="00B907F0">
            <w:r w:rsidRPr="00155194">
              <w:rPr>
                <w:rFonts w:hint="eastAsia"/>
              </w:rPr>
              <w:t>智利批准谷物种子进口植物检疫要求决议的协调和合并文本。智利于</w:t>
            </w:r>
            <w:r w:rsidRPr="00155194">
              <w:t>2022</w:t>
            </w:r>
            <w:r w:rsidRPr="00155194">
              <w:rPr>
                <w:rFonts w:hint="eastAsia"/>
              </w:rPr>
              <w:t>年</w:t>
            </w:r>
            <w:r w:rsidRPr="00155194">
              <w:t>3</w:t>
            </w:r>
            <w:r w:rsidRPr="00155194">
              <w:rPr>
                <w:rFonts w:hint="eastAsia"/>
              </w:rPr>
              <w:t>月</w:t>
            </w:r>
            <w:r w:rsidRPr="00155194">
              <w:t>15</w:t>
            </w:r>
            <w:r w:rsidRPr="00155194">
              <w:rPr>
                <w:rFonts w:hint="eastAsia"/>
              </w:rPr>
              <w:t>日在官方公报上发布了关于批准谷物种子进口植物检疫要求决议的协调和合并文本、添加单胞小麦和大麦植物检疫要求并废止</w:t>
            </w:r>
            <w:r w:rsidRPr="00155194">
              <w:t>2004</w:t>
            </w:r>
            <w:r w:rsidRPr="00155194">
              <w:rPr>
                <w:rFonts w:hint="eastAsia"/>
              </w:rPr>
              <w:t>年第</w:t>
            </w:r>
            <w:r w:rsidRPr="00155194">
              <w:t>1.012</w:t>
            </w:r>
            <w:r w:rsidRPr="00155194">
              <w:rPr>
                <w:rFonts w:hint="eastAsia"/>
              </w:rPr>
              <w:t>号决议的第</w:t>
            </w:r>
            <w:r w:rsidRPr="00155194">
              <w:t>1.187/2022</w:t>
            </w:r>
            <w:r w:rsidRPr="00155194">
              <w:rPr>
                <w:rFonts w:hint="eastAsia"/>
              </w:rPr>
              <w:t>号豁免决议。</w:t>
            </w:r>
            <w:r w:rsidRPr="00155194">
              <w:t xml:space="preserve"> </w:t>
            </w:r>
            <w:r w:rsidRPr="00155194">
              <w:rPr>
                <w:rFonts w:hint="eastAsia"/>
              </w:rPr>
              <w:t>依据第</w:t>
            </w:r>
            <w:r w:rsidRPr="00155194">
              <w:t>1.187/2022</w:t>
            </w:r>
            <w:r w:rsidRPr="00155194">
              <w:rPr>
                <w:rFonts w:hint="eastAsia"/>
              </w:rPr>
              <w:t>号豁免决议第</w:t>
            </w:r>
            <w:r w:rsidRPr="00155194">
              <w:t>12</w:t>
            </w:r>
            <w:r w:rsidRPr="00155194">
              <w:rPr>
                <w:rFonts w:hint="eastAsia"/>
              </w:rPr>
              <w:t>条和第</w:t>
            </w:r>
            <w:r w:rsidRPr="00155194">
              <w:t>13</w:t>
            </w:r>
            <w:r w:rsidRPr="00155194">
              <w:rPr>
                <w:rFonts w:hint="eastAsia"/>
              </w:rPr>
              <w:t>条，生效日期如下：</w:t>
            </w:r>
            <w:r w:rsidRPr="00155194">
              <w:t xml:space="preserve"> </w:t>
            </w:r>
            <w:r w:rsidRPr="00155194">
              <w:rPr>
                <w:rFonts w:ascii="宋体" w:hAnsi="宋体" w:cs="宋体" w:hint="eastAsia"/>
              </w:rPr>
              <w:t></w:t>
            </w:r>
            <w:r w:rsidRPr="00155194">
              <w:rPr>
                <w:rFonts w:hint="eastAsia"/>
              </w:rPr>
              <w:t>单胞小麦和智利大麦种子进口植物检疫要求应在</w:t>
            </w:r>
            <w:r w:rsidRPr="00155194">
              <w:t>2022</w:t>
            </w:r>
            <w:r w:rsidRPr="00155194">
              <w:rPr>
                <w:rFonts w:hint="eastAsia"/>
              </w:rPr>
              <w:t>年</w:t>
            </w:r>
            <w:r w:rsidRPr="00155194">
              <w:t>3</w:t>
            </w:r>
            <w:r w:rsidRPr="00155194">
              <w:rPr>
                <w:rFonts w:hint="eastAsia"/>
              </w:rPr>
              <w:t>月</w:t>
            </w:r>
            <w:r w:rsidRPr="00155194">
              <w:t>15</w:t>
            </w:r>
            <w:r w:rsidRPr="00155194">
              <w:rPr>
                <w:rFonts w:hint="eastAsia"/>
              </w:rPr>
              <w:t>日生效；</w:t>
            </w:r>
            <w:r w:rsidRPr="00155194">
              <w:t xml:space="preserve"> </w:t>
            </w:r>
            <w:r w:rsidRPr="00155194">
              <w:rPr>
                <w:rFonts w:ascii="宋体" w:hAnsi="宋体" w:cs="宋体" w:hint="eastAsia"/>
              </w:rPr>
              <w:t></w:t>
            </w:r>
            <w:r w:rsidRPr="00155194">
              <w:rPr>
                <w:rFonts w:hint="eastAsia"/>
              </w:rPr>
              <w:t>本决议项下及上文未提及的相关品种种子的进口植物检疫要求应在</w:t>
            </w:r>
            <w:r w:rsidRPr="00155194">
              <w:t>2022</w:t>
            </w:r>
            <w:r w:rsidRPr="00155194">
              <w:rPr>
                <w:rFonts w:hint="eastAsia"/>
              </w:rPr>
              <w:t>年</w:t>
            </w:r>
            <w:r w:rsidRPr="00155194">
              <w:t>3</w:t>
            </w:r>
            <w:r w:rsidRPr="00155194">
              <w:rPr>
                <w:rFonts w:hint="eastAsia"/>
              </w:rPr>
              <w:t>月</w:t>
            </w:r>
            <w:r w:rsidRPr="00155194">
              <w:t>15</w:t>
            </w:r>
            <w:r w:rsidRPr="00155194">
              <w:rPr>
                <w:rFonts w:hint="eastAsia"/>
              </w:rPr>
              <w:t>日之后的第</w:t>
            </w:r>
            <w:r w:rsidRPr="00155194">
              <w:t>180</w:t>
            </w:r>
            <w:r w:rsidRPr="00155194">
              <w:rPr>
                <w:rFonts w:hint="eastAsia"/>
              </w:rPr>
              <w:t>天生效。</w:t>
            </w:r>
          </w:p>
        </w:tc>
      </w:tr>
      <w:tr w:rsidR="00B907F0" w:rsidTr="008E796A">
        <w:tc>
          <w:tcPr>
            <w:tcW w:w="1384" w:type="dxa"/>
            <w:vAlign w:val="center"/>
          </w:tcPr>
          <w:p w:rsidR="00B907F0" w:rsidRPr="008E796A" w:rsidRDefault="00B907F0" w:rsidP="008E796A">
            <w:pPr>
              <w:jc w:val="center"/>
              <w:rPr>
                <w:b/>
              </w:rPr>
            </w:pPr>
            <w:r w:rsidRPr="008E796A">
              <w:rPr>
                <w:rFonts w:hint="eastAsia"/>
                <w:b/>
              </w:rPr>
              <w:t>乌干达</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63</w:t>
            </w:r>
          </w:p>
        </w:tc>
        <w:tc>
          <w:tcPr>
            <w:tcW w:w="12223" w:type="dxa"/>
          </w:tcPr>
          <w:p w:rsidR="00B907F0" w:rsidRPr="00155194" w:rsidRDefault="00B907F0">
            <w:r w:rsidRPr="00155194">
              <w:rPr>
                <w:rFonts w:hint="eastAsia"/>
              </w:rPr>
              <w:t>乌干达制定小麦籽粒规范。该乌干达标准草案对供人类食用的普通小麦（</w:t>
            </w:r>
            <w:r w:rsidRPr="00155194">
              <w:t>Triticum aestivum L.</w:t>
            </w:r>
            <w:r w:rsidRPr="00155194">
              <w:rPr>
                <w:rFonts w:hint="eastAsia"/>
              </w:rPr>
              <w:t>）、密穗小麦（</w:t>
            </w:r>
            <w:r w:rsidRPr="00155194">
              <w:t>T compactumHost.</w:t>
            </w:r>
            <w:r w:rsidRPr="00155194">
              <w:rPr>
                <w:rFonts w:hint="eastAsia"/>
              </w:rPr>
              <w:t>）以及节节麦（软质小麦）品种（栽培变种）小麦籽粒的取样和试验要求和方法进行了规定。本标准不包括硬质小麦（</w:t>
            </w:r>
            <w:r w:rsidRPr="00155194">
              <w:t>Triticum Durum</w:t>
            </w:r>
            <w:r w:rsidRPr="00155194">
              <w:rPr>
                <w:rFonts w:hint="eastAsia"/>
              </w:rPr>
              <w:t>）。</w:t>
            </w:r>
          </w:p>
        </w:tc>
      </w:tr>
      <w:tr w:rsidR="00B907F0" w:rsidTr="008E796A">
        <w:tc>
          <w:tcPr>
            <w:tcW w:w="1384" w:type="dxa"/>
          </w:tcPr>
          <w:p w:rsidR="00B907F0" w:rsidRPr="008E796A" w:rsidRDefault="00B907F0" w:rsidP="008E796A">
            <w:pPr>
              <w:jc w:val="center"/>
              <w:rPr>
                <w:rFonts w:ascii="宋体" w:cs="宋体"/>
                <w:b/>
                <w:sz w:val="22"/>
                <w:szCs w:val="22"/>
              </w:rPr>
            </w:pPr>
            <w:r w:rsidRPr="008E796A">
              <w:rPr>
                <w:rFonts w:hint="eastAsia"/>
                <w:b/>
                <w:color w:val="000000"/>
                <w:sz w:val="22"/>
                <w:szCs w:val="22"/>
              </w:rPr>
              <w:t>斯里兰卡</w:t>
            </w:r>
          </w:p>
        </w:tc>
        <w:tc>
          <w:tcPr>
            <w:tcW w:w="567" w:type="dxa"/>
          </w:tcPr>
          <w:p w:rsidR="00B907F0" w:rsidRPr="008E796A" w:rsidRDefault="00B907F0" w:rsidP="008E796A">
            <w:pPr>
              <w:jc w:val="center"/>
              <w:rPr>
                <w:rFonts w:ascii="宋体" w:hAnsi="宋体"/>
                <w:b/>
                <w:sz w:val="24"/>
              </w:rPr>
            </w:pPr>
            <w:r w:rsidRPr="008E796A">
              <w:rPr>
                <w:rFonts w:ascii="宋体" w:hAnsi="宋体"/>
                <w:b/>
                <w:sz w:val="24"/>
              </w:rPr>
              <w:t>64</w:t>
            </w:r>
          </w:p>
        </w:tc>
        <w:tc>
          <w:tcPr>
            <w:tcW w:w="12223" w:type="dxa"/>
          </w:tcPr>
          <w:p w:rsidR="00B907F0" w:rsidRPr="00155194" w:rsidRDefault="00B907F0">
            <w:r w:rsidRPr="00155194">
              <w:rPr>
                <w:rFonts w:hint="eastAsia"/>
              </w:rPr>
              <w:t>斯里兰卡修订方便面规范。对过氧化值限值和过氧化值测定方法进行了修订。</w:t>
            </w:r>
          </w:p>
        </w:tc>
      </w:tr>
      <w:tr w:rsidR="00B907F0" w:rsidTr="008E796A">
        <w:tc>
          <w:tcPr>
            <w:tcW w:w="1384" w:type="dxa"/>
            <w:vMerge w:val="restart"/>
            <w:vAlign w:val="center"/>
          </w:tcPr>
          <w:p w:rsidR="00B907F0" w:rsidRPr="008E796A" w:rsidRDefault="00B907F0" w:rsidP="008E796A">
            <w:pPr>
              <w:jc w:val="center"/>
              <w:rPr>
                <w:b/>
              </w:rPr>
            </w:pPr>
            <w:r w:rsidRPr="008E796A">
              <w:rPr>
                <w:rFonts w:hint="eastAsia"/>
                <w:b/>
              </w:rPr>
              <w:t>英国</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65</w:t>
            </w:r>
          </w:p>
        </w:tc>
        <w:tc>
          <w:tcPr>
            <w:tcW w:w="12223" w:type="dxa"/>
          </w:tcPr>
          <w:p w:rsidR="00B907F0" w:rsidRDefault="00B907F0" w:rsidP="00155194">
            <w:r>
              <w:rPr>
                <w:rFonts w:hint="eastAsia"/>
              </w:rPr>
              <w:t>英国健康与安全委员会公开</w:t>
            </w:r>
            <w:r>
              <w:t>2022</w:t>
            </w:r>
            <w:r>
              <w:rPr>
                <w:rFonts w:hint="eastAsia"/>
              </w:rPr>
              <w:t>年滚动计划清单。</w:t>
            </w:r>
            <w:r>
              <w:t>2022</w:t>
            </w:r>
            <w:r>
              <w:rPr>
                <w:rFonts w:hint="eastAsia"/>
              </w:rPr>
              <w:t>年</w:t>
            </w:r>
            <w:r>
              <w:t>3</w:t>
            </w:r>
            <w:r>
              <w:rPr>
                <w:rFonts w:hint="eastAsia"/>
              </w:rPr>
              <w:t>月，英国健康与安全委员会（</w:t>
            </w:r>
            <w:r>
              <w:t>HSE</w:t>
            </w:r>
            <w:r>
              <w:rPr>
                <w:rFonts w:hint="eastAsia"/>
              </w:rPr>
              <w:t>）公开</w:t>
            </w:r>
            <w:r>
              <w:t>2022</w:t>
            </w:r>
            <w:r>
              <w:rPr>
                <w:rFonts w:hint="eastAsia"/>
              </w:rPr>
              <w:t>年滚动计划清单（</w:t>
            </w:r>
            <w:r>
              <w:t>RAP</w:t>
            </w:r>
            <w:r>
              <w:rPr>
                <w:rFonts w:hint="eastAsia"/>
              </w:rPr>
              <w:t>）。</w:t>
            </w:r>
            <w:r>
              <w:t>HSE</w:t>
            </w:r>
            <w:r>
              <w:rPr>
                <w:rFonts w:hint="eastAsia"/>
              </w:rPr>
              <w:t>与英国环境署（</w:t>
            </w:r>
            <w:r>
              <w:t>EA</w:t>
            </w:r>
            <w:r>
              <w:rPr>
                <w:rFonts w:hint="eastAsia"/>
              </w:rPr>
              <w:t>）合作，根据物质的危害分类、暴露情况和吨位量，将已注册的</w:t>
            </w:r>
            <w:r>
              <w:t>2</w:t>
            </w:r>
            <w:r>
              <w:rPr>
                <w:rFonts w:hint="eastAsia"/>
              </w:rPr>
              <w:t>个物质（见下表）加入了</w:t>
            </w:r>
            <w:r>
              <w:t>2022</w:t>
            </w:r>
            <w:r>
              <w:rPr>
                <w:rFonts w:hint="eastAsia"/>
              </w:rPr>
              <w:t>年</w:t>
            </w:r>
            <w:r>
              <w:t>RAP</w:t>
            </w:r>
            <w:r>
              <w:rPr>
                <w:rFonts w:hint="eastAsia"/>
              </w:rPr>
              <w:t>，并进行物质评估。这是</w:t>
            </w:r>
            <w:r>
              <w:t>HSE</w:t>
            </w:r>
            <w:r>
              <w:rPr>
                <w:rFonts w:hint="eastAsia"/>
              </w:rPr>
              <w:t>发布的第一份</w:t>
            </w:r>
            <w:r>
              <w:t>RAP</w:t>
            </w:r>
            <w:r>
              <w:rPr>
                <w:rFonts w:hint="eastAsia"/>
              </w:rPr>
              <w:t>清单（滚动计划清单），后续</w:t>
            </w:r>
            <w:r>
              <w:t>RAP</w:t>
            </w:r>
            <w:r>
              <w:rPr>
                <w:rFonts w:hint="eastAsia"/>
              </w:rPr>
              <w:t>清单将每年进行一次更新。</w:t>
            </w:r>
          </w:p>
          <w:p w:rsidR="00B907F0" w:rsidRDefault="00B907F0" w:rsidP="00155194">
            <w:r>
              <w:rPr>
                <w:rFonts w:hint="eastAsia"/>
              </w:rPr>
              <w:t>对于进入滚动清单物质的选择，是基于英国</w:t>
            </w:r>
            <w:r>
              <w:t>UK REACH</w:t>
            </w:r>
            <w:r>
              <w:rPr>
                <w:rFonts w:hint="eastAsia"/>
              </w:rPr>
              <w:t>法规下的数据及其他本土法规如</w:t>
            </w:r>
            <w:r>
              <w:t>GB CLP</w:t>
            </w:r>
            <w:r>
              <w:rPr>
                <w:rFonts w:hint="eastAsia"/>
              </w:rPr>
              <w:t>（英国版化学品分类、标签和包装法规）和其他国家的化学品数据库中的信息。</w:t>
            </w:r>
          </w:p>
          <w:p w:rsidR="00B907F0" w:rsidRDefault="00B907F0" w:rsidP="00155194">
            <w:r>
              <w:rPr>
                <w:rFonts w:hint="eastAsia"/>
              </w:rPr>
              <w:t>为了防止重复工作及提高效率，</w:t>
            </w:r>
            <w:r>
              <w:t>HSE</w:t>
            </w:r>
            <w:r>
              <w:rPr>
                <w:rFonts w:hint="eastAsia"/>
              </w:rPr>
              <w:t>将不再复制其他法规（如欧盟</w:t>
            </w:r>
            <w:r>
              <w:t>REACH</w:t>
            </w:r>
            <w:r>
              <w:rPr>
                <w:rFonts w:hint="eastAsia"/>
              </w:rPr>
              <w:t>）下已经或将要执行的评估工作，以增加对优先物质的危害和风险控制及其对英国市场影响的整体理解。</w:t>
            </w:r>
          </w:p>
          <w:p w:rsidR="00B907F0" w:rsidRDefault="00B907F0" w:rsidP="00155194">
            <w:r>
              <w:rPr>
                <w:rFonts w:hint="eastAsia"/>
              </w:rPr>
              <w:t>若评估结果认为，现有的信息无法满足对该化学品的危害风险疑虑，</w:t>
            </w:r>
            <w:r>
              <w:t>HSE</w:t>
            </w:r>
            <w:r>
              <w:rPr>
                <w:rFonts w:hint="eastAsia"/>
              </w:rPr>
              <w:t>将下发决议，要求英国</w:t>
            </w:r>
            <w:r>
              <w:t>UK REACH</w:t>
            </w:r>
            <w:r>
              <w:rPr>
                <w:rFonts w:hint="eastAsia"/>
              </w:rPr>
              <w:t>下的注册者提供进一步的详细信息。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1"/>
              <w:gridCol w:w="3707"/>
              <w:gridCol w:w="1183"/>
              <w:gridCol w:w="1197"/>
              <w:gridCol w:w="4889"/>
            </w:tblGrid>
            <w:tr w:rsidR="00B907F0" w:rsidTr="008E796A">
              <w:tc>
                <w:tcPr>
                  <w:tcW w:w="1021"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rPr>
                      <w:rFonts w:hint="eastAsia"/>
                    </w:rPr>
                    <w:t>时间</w:t>
                  </w:r>
                </w:p>
              </w:tc>
              <w:tc>
                <w:tcPr>
                  <w:tcW w:w="3707"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rPr>
                      <w:rFonts w:hint="eastAsia"/>
                    </w:rPr>
                    <w:t>物质</w:t>
                  </w:r>
                </w:p>
              </w:tc>
              <w:tc>
                <w:tcPr>
                  <w:tcW w:w="1183"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EC</w:t>
                  </w:r>
                  <w:r>
                    <w:rPr>
                      <w:rFonts w:hint="eastAsia"/>
                    </w:rPr>
                    <w:t>号</w:t>
                  </w:r>
                </w:p>
              </w:tc>
              <w:tc>
                <w:tcPr>
                  <w:tcW w:w="1197"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CAS</w:t>
                  </w:r>
                  <w:r>
                    <w:rPr>
                      <w:rFonts w:hint="eastAsia"/>
                    </w:rPr>
                    <w:t>号</w:t>
                  </w:r>
                </w:p>
              </w:tc>
              <w:tc>
                <w:tcPr>
                  <w:tcW w:w="4889"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rPr>
                      <w:rFonts w:hint="eastAsia"/>
                    </w:rPr>
                    <w:t>评估原因</w:t>
                  </w:r>
                </w:p>
              </w:tc>
            </w:tr>
            <w:tr w:rsidR="00B907F0" w:rsidTr="008E796A">
              <w:tc>
                <w:tcPr>
                  <w:tcW w:w="1021"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2022</w:t>
                  </w:r>
                  <w:r>
                    <w:rPr>
                      <w:rFonts w:hint="eastAsia"/>
                    </w:rPr>
                    <w:t>年</w:t>
                  </w:r>
                </w:p>
              </w:tc>
              <w:tc>
                <w:tcPr>
                  <w:tcW w:w="3707" w:type="dxa"/>
                  <w:tcBorders>
                    <w:top w:val="single" w:sz="4" w:space="0" w:color="000000"/>
                    <w:left w:val="single" w:sz="4" w:space="0" w:color="000000"/>
                    <w:bottom w:val="single" w:sz="4" w:space="0" w:color="000000"/>
                    <w:right w:val="single" w:sz="4" w:space="0" w:color="000000"/>
                  </w:tcBorders>
                </w:tcPr>
                <w:p w:rsidR="00B907F0" w:rsidRDefault="00B907F0" w:rsidP="00155194">
                  <w:r>
                    <w:t>Paraffin waxes and hydrocarbon waxes,chloro</w:t>
                  </w:r>
                  <w:r>
                    <w:rPr>
                      <w:rFonts w:hint="eastAsia"/>
                    </w:rPr>
                    <w:t>（氯化石蜡）</w:t>
                  </w:r>
                </w:p>
              </w:tc>
              <w:tc>
                <w:tcPr>
                  <w:tcW w:w="1183" w:type="dxa"/>
                  <w:tcBorders>
                    <w:top w:val="single" w:sz="4" w:space="0" w:color="000000"/>
                    <w:left w:val="single" w:sz="4" w:space="0" w:color="000000"/>
                    <w:bottom w:val="single" w:sz="4" w:space="0" w:color="000000"/>
                    <w:right w:val="single" w:sz="4" w:space="0" w:color="000000"/>
                  </w:tcBorders>
                </w:tcPr>
                <w:p w:rsidR="00B907F0" w:rsidRDefault="00B907F0" w:rsidP="00155194">
                  <w:r>
                    <w:t>264-150-0</w:t>
                  </w:r>
                </w:p>
              </w:tc>
              <w:tc>
                <w:tcPr>
                  <w:tcW w:w="1197" w:type="dxa"/>
                  <w:tcBorders>
                    <w:top w:val="single" w:sz="4" w:space="0" w:color="000000"/>
                    <w:left w:val="single" w:sz="4" w:space="0" w:color="000000"/>
                    <w:bottom w:val="single" w:sz="4" w:space="0" w:color="000000"/>
                    <w:right w:val="single" w:sz="4" w:space="0" w:color="000000"/>
                  </w:tcBorders>
                </w:tcPr>
                <w:p w:rsidR="00B907F0" w:rsidRDefault="00B907F0" w:rsidP="00155194">
                  <w:r>
                    <w:t>63449-39-8</w:t>
                  </w:r>
                </w:p>
              </w:tc>
              <w:tc>
                <w:tcPr>
                  <w:tcW w:w="4889" w:type="dxa"/>
                  <w:tcBorders>
                    <w:top w:val="single" w:sz="4" w:space="0" w:color="000000"/>
                    <w:left w:val="single" w:sz="4" w:space="0" w:color="000000"/>
                    <w:bottom w:val="single" w:sz="4" w:space="0" w:color="000000"/>
                    <w:right w:val="single" w:sz="4" w:space="0" w:color="000000"/>
                  </w:tcBorders>
                </w:tcPr>
                <w:p w:rsidR="00B907F0" w:rsidRDefault="00B907F0" w:rsidP="00155194">
                  <w:r>
                    <w:rPr>
                      <w:rFonts w:hint="eastAsia"/>
                    </w:rPr>
                    <w:t>疑似</w:t>
                  </w:r>
                  <w:r>
                    <w:t xml:space="preserve">PBT/vPvB </w:t>
                  </w:r>
                  <w:r>
                    <w:rPr>
                      <w:rFonts w:hint="eastAsia"/>
                    </w:rPr>
                    <w:t>广泛用途</w:t>
                  </w:r>
                  <w:r>
                    <w:t xml:space="preserve"> </w:t>
                  </w:r>
                  <w:r>
                    <w:rPr>
                      <w:rFonts w:hint="eastAsia"/>
                    </w:rPr>
                    <w:t>高吨位</w:t>
                  </w:r>
                </w:p>
              </w:tc>
            </w:tr>
            <w:tr w:rsidR="00B907F0" w:rsidTr="008E796A">
              <w:tc>
                <w:tcPr>
                  <w:tcW w:w="1021"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2022</w:t>
                  </w:r>
                  <w:r>
                    <w:rPr>
                      <w:rFonts w:hint="eastAsia"/>
                    </w:rPr>
                    <w:t>年</w:t>
                  </w:r>
                </w:p>
              </w:tc>
              <w:tc>
                <w:tcPr>
                  <w:tcW w:w="3707" w:type="dxa"/>
                  <w:tcBorders>
                    <w:top w:val="single" w:sz="4" w:space="0" w:color="000000"/>
                    <w:left w:val="single" w:sz="4" w:space="0" w:color="000000"/>
                    <w:bottom w:val="single" w:sz="4" w:space="0" w:color="000000"/>
                    <w:right w:val="single" w:sz="4" w:space="0" w:color="000000"/>
                  </w:tcBorders>
                </w:tcPr>
                <w:p w:rsidR="00B907F0" w:rsidRDefault="00B907F0" w:rsidP="00155194">
                  <w:r>
                    <w:t>2,2</w:t>
                  </w:r>
                  <w:r w:rsidRPr="00155194">
                    <w:rPr>
                      <w:rFonts w:hint="eastAsia"/>
                    </w:rPr>
                    <w:t>’</w:t>
                  </w:r>
                  <w:r>
                    <w:t>-Diallyl-4,4</w:t>
                  </w:r>
                  <w:r w:rsidRPr="00155194">
                    <w:rPr>
                      <w:rFonts w:hint="eastAsia"/>
                    </w:rPr>
                    <w:t>’</w:t>
                  </w:r>
                  <w:r>
                    <w:t>-sulfonyldiphenol</w:t>
                  </w:r>
                </w:p>
              </w:tc>
              <w:tc>
                <w:tcPr>
                  <w:tcW w:w="1183" w:type="dxa"/>
                  <w:tcBorders>
                    <w:top w:val="single" w:sz="4" w:space="0" w:color="000000"/>
                    <w:left w:val="single" w:sz="4" w:space="0" w:color="000000"/>
                    <w:bottom w:val="single" w:sz="4" w:space="0" w:color="000000"/>
                    <w:right w:val="single" w:sz="4" w:space="0" w:color="000000"/>
                  </w:tcBorders>
                </w:tcPr>
                <w:p w:rsidR="00B907F0" w:rsidRDefault="00B907F0" w:rsidP="00155194">
                  <w:r>
                    <w:t>411-570-9</w:t>
                  </w:r>
                </w:p>
              </w:tc>
              <w:tc>
                <w:tcPr>
                  <w:tcW w:w="1197" w:type="dxa"/>
                  <w:tcBorders>
                    <w:top w:val="single" w:sz="4" w:space="0" w:color="000000"/>
                    <w:left w:val="single" w:sz="4" w:space="0" w:color="000000"/>
                    <w:bottom w:val="single" w:sz="4" w:space="0" w:color="000000"/>
                    <w:right w:val="single" w:sz="4" w:space="0" w:color="000000"/>
                  </w:tcBorders>
                </w:tcPr>
                <w:p w:rsidR="00B907F0" w:rsidRDefault="00B907F0" w:rsidP="00155194">
                  <w:r>
                    <w:t>41481-66-7</w:t>
                  </w:r>
                </w:p>
              </w:tc>
              <w:tc>
                <w:tcPr>
                  <w:tcW w:w="4889" w:type="dxa"/>
                  <w:tcBorders>
                    <w:top w:val="single" w:sz="4" w:space="0" w:color="000000"/>
                    <w:left w:val="single" w:sz="4" w:space="0" w:color="000000"/>
                    <w:bottom w:val="single" w:sz="4" w:space="0" w:color="000000"/>
                    <w:right w:val="single" w:sz="4" w:space="0" w:color="000000"/>
                  </w:tcBorders>
                </w:tcPr>
                <w:p w:rsidR="00B907F0" w:rsidRDefault="00B907F0" w:rsidP="00155194">
                  <w:r>
                    <w:rPr>
                      <w:rFonts w:hint="eastAsia"/>
                    </w:rPr>
                    <w:t>疑似内分泌干扰物</w:t>
                  </w:r>
                  <w:r>
                    <w:t xml:space="preserve"> </w:t>
                  </w:r>
                  <w:r>
                    <w:rPr>
                      <w:rFonts w:hint="eastAsia"/>
                    </w:rPr>
                    <w:t>疑似</w:t>
                  </w:r>
                  <w:r>
                    <w:t>CMR</w:t>
                  </w:r>
                  <w:r>
                    <w:rPr>
                      <w:rFonts w:hint="eastAsia"/>
                    </w:rPr>
                    <w:t>物质</w:t>
                  </w:r>
                  <w:r>
                    <w:t xml:space="preserve"> </w:t>
                  </w:r>
                  <w:r>
                    <w:rPr>
                      <w:rFonts w:hint="eastAsia"/>
                    </w:rPr>
                    <w:t>广泛用途</w:t>
                  </w:r>
                </w:p>
              </w:tc>
            </w:tr>
          </w:tbl>
          <w:p w:rsidR="00B907F0" w:rsidRDefault="00B907F0" w:rsidP="00155194"/>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66</w:t>
            </w:r>
          </w:p>
        </w:tc>
        <w:tc>
          <w:tcPr>
            <w:tcW w:w="12223" w:type="dxa"/>
          </w:tcPr>
          <w:p w:rsidR="00B907F0" w:rsidRPr="00A675DA" w:rsidRDefault="00B907F0">
            <w:r w:rsidRPr="00A675DA">
              <w:rPr>
                <w:rFonts w:hint="eastAsia"/>
              </w:rPr>
              <w:t>英国拟定百菌清最大残留限量。健康与安全部对英国（</w:t>
            </w:r>
            <w:r w:rsidRPr="00A675DA">
              <w:t>GB</w:t>
            </w:r>
            <w:r w:rsidRPr="00A675DA">
              <w:rPr>
                <w:rFonts w:hint="eastAsia"/>
              </w:rPr>
              <w:t>）的相关最大残留限量进行审查，该文件概述了百菌清的拟定最大残留限量。健康与安全部针对最大残留限量审查编制的详细意见草案参见以下网址：</w:t>
            </w:r>
            <w:r w:rsidRPr="00A675DA">
              <w:t xml:space="preserve"> The review of the existing MRLs for chlorothalonil - proposed MRLs </w:t>
            </w:r>
            <w:r w:rsidRPr="00A675DA">
              <w:rPr>
                <w:rFonts w:hint="eastAsia"/>
              </w:rPr>
              <w:t>所有最大残留限量目前均低于人类健康危害的最低定量限，即不符合人类健康保护相应水平。</w:t>
            </w:r>
          </w:p>
        </w:tc>
      </w:tr>
      <w:tr w:rsidR="00B907F0" w:rsidTr="008E796A">
        <w:tc>
          <w:tcPr>
            <w:tcW w:w="1384" w:type="dxa"/>
            <w:vMerge w:val="restart"/>
            <w:vAlign w:val="center"/>
          </w:tcPr>
          <w:p w:rsidR="00B907F0" w:rsidRPr="008E796A" w:rsidRDefault="00B907F0" w:rsidP="008E796A">
            <w:pPr>
              <w:jc w:val="center"/>
              <w:rPr>
                <w:b/>
              </w:rPr>
            </w:pPr>
            <w:r w:rsidRPr="008E796A">
              <w:rPr>
                <w:rFonts w:hint="eastAsia"/>
                <w:b/>
              </w:rPr>
              <w:t>新加坡</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67</w:t>
            </w:r>
          </w:p>
        </w:tc>
        <w:tc>
          <w:tcPr>
            <w:tcW w:w="12223" w:type="dxa"/>
          </w:tcPr>
          <w:p w:rsidR="00B907F0" w:rsidRPr="00A675DA" w:rsidRDefault="00B907F0">
            <w:r w:rsidRPr="00A675DA">
              <w:rPr>
                <w:rFonts w:hint="eastAsia"/>
              </w:rPr>
              <w:t>新加坡暂停进口丹麦受高致病性禽流感疫情影响地区的禽类产品。</w:t>
            </w:r>
            <w:r w:rsidRPr="00A675DA">
              <w:t>2022</w:t>
            </w:r>
            <w:r w:rsidRPr="00A675DA">
              <w:rPr>
                <w:rFonts w:hint="eastAsia"/>
              </w:rPr>
              <w:t>年</w:t>
            </w:r>
            <w:r w:rsidRPr="00A675DA">
              <w:t>4</w:t>
            </w:r>
            <w:r w:rsidRPr="00A675DA">
              <w:rPr>
                <w:rFonts w:hint="eastAsia"/>
              </w:rPr>
              <w:t>月</w:t>
            </w:r>
            <w:r w:rsidRPr="00A675DA">
              <w:t>11</w:t>
            </w:r>
            <w:r w:rsidRPr="00A675DA">
              <w:rPr>
                <w:rFonts w:hint="eastAsia"/>
              </w:rPr>
              <w:t>日，新加坡食品局（</w:t>
            </w:r>
            <w:r w:rsidRPr="00A675DA">
              <w:t>SFA</w:t>
            </w:r>
            <w:r w:rsidRPr="00A675DA">
              <w:rPr>
                <w:rFonts w:hint="eastAsia"/>
              </w:rPr>
              <w:t>）发布消息称对丹麦高致病性禽流感疫情发生地附近的家禽及其产品的进口实施临时限制。</w:t>
            </w:r>
            <w:r w:rsidRPr="00A675DA">
              <w:t xml:space="preserve"> </w:t>
            </w:r>
            <w:r w:rsidRPr="00A675DA">
              <w:rPr>
                <w:rFonts w:hint="eastAsia"/>
              </w:rPr>
              <w:t>由于丹麦朗厄兰市的圈养禽类中发生</w:t>
            </w:r>
            <w:r w:rsidRPr="00A675DA">
              <w:t>H5N1</w:t>
            </w:r>
            <w:r w:rsidRPr="00A675DA">
              <w:rPr>
                <w:rFonts w:hint="eastAsia"/>
              </w:rPr>
              <w:t>型高致病性禽流感疫情，自</w:t>
            </w:r>
            <w:r w:rsidRPr="00A675DA">
              <w:t>2022</w:t>
            </w:r>
            <w:r w:rsidRPr="00A675DA">
              <w:rPr>
                <w:rFonts w:hint="eastAsia"/>
              </w:rPr>
              <w:t>年</w:t>
            </w:r>
            <w:r w:rsidRPr="00A675DA">
              <w:t>3</w:t>
            </w:r>
            <w:r w:rsidRPr="00A675DA">
              <w:rPr>
                <w:rFonts w:hint="eastAsia"/>
              </w:rPr>
              <w:t>月</w:t>
            </w:r>
            <w:r w:rsidRPr="00A675DA">
              <w:t>29</w:t>
            </w:r>
            <w:r w:rsidRPr="00A675DA">
              <w:rPr>
                <w:rFonts w:hint="eastAsia"/>
              </w:rPr>
              <w:t>日起，将对朗厄兰市的家禽及其产品的进口实施临时限制。符合世界动物卫生组织（</w:t>
            </w:r>
            <w:r w:rsidRPr="00A675DA">
              <w:t>OIE</w:t>
            </w:r>
            <w:r w:rsidRPr="00A675DA">
              <w:rPr>
                <w:rFonts w:hint="eastAsia"/>
              </w:rPr>
              <w:t>）禽流感病毒灭活要求热处理的家禽产品不会受到进口限制的影响。</w:t>
            </w:r>
            <w:r w:rsidRPr="00A675DA">
              <w:t xml:space="preserve"> 2022</w:t>
            </w:r>
            <w:r w:rsidRPr="00A675DA">
              <w:rPr>
                <w:rFonts w:hint="eastAsia"/>
              </w:rPr>
              <w:t>年</w:t>
            </w:r>
            <w:r w:rsidRPr="00A675DA">
              <w:t>3</w:t>
            </w:r>
            <w:r w:rsidRPr="00A675DA">
              <w:rPr>
                <w:rFonts w:hint="eastAsia"/>
              </w:rPr>
              <w:t>月</w:t>
            </w:r>
            <w:r w:rsidRPr="00A675DA">
              <w:t>15</w:t>
            </w:r>
            <w:r w:rsidRPr="00A675DA">
              <w:rPr>
                <w:rFonts w:hint="eastAsia"/>
              </w:rPr>
              <w:t>日之前从朗厄兰市出口并在</w:t>
            </w:r>
            <w:r w:rsidRPr="00A675DA">
              <w:t>2022</w:t>
            </w:r>
            <w:r w:rsidRPr="00A675DA">
              <w:rPr>
                <w:rFonts w:hint="eastAsia"/>
              </w:rPr>
              <w:t>年</w:t>
            </w:r>
            <w:r w:rsidRPr="00A675DA">
              <w:t>3</w:t>
            </w:r>
            <w:r w:rsidRPr="00A675DA">
              <w:rPr>
                <w:rFonts w:hint="eastAsia"/>
              </w:rPr>
              <w:t>月</w:t>
            </w:r>
            <w:r w:rsidRPr="00A675DA">
              <w:t>29</w:t>
            </w:r>
            <w:r w:rsidRPr="00A675DA">
              <w:rPr>
                <w:rFonts w:hint="eastAsia"/>
              </w:rPr>
              <w:t>日之前宰杀的家禽产品将继续被接受进口。</w:t>
            </w:r>
            <w:r w:rsidRPr="00A675DA">
              <w:t xml:space="preserve"> </w:t>
            </w:r>
            <w:r w:rsidRPr="00A675DA">
              <w:rPr>
                <w:rFonts w:hint="eastAsia"/>
              </w:rPr>
              <w:t>为方便其他家禽和家禽产品的通关许可，在进口家禽及产品时，随附的兽医健康证明书还应包括以下额外证明：</w:t>
            </w:r>
            <w:r w:rsidRPr="00A675DA">
              <w:t xml:space="preserve"> a .</w:t>
            </w:r>
            <w:r w:rsidRPr="00A675DA">
              <w:rPr>
                <w:rFonts w:hint="eastAsia"/>
              </w:rPr>
              <w:t>高致病性禽流感（</w:t>
            </w:r>
            <w:r w:rsidRPr="00A675DA">
              <w:t>HPAI</w:t>
            </w:r>
            <w:r w:rsidRPr="00A675DA">
              <w:rPr>
                <w:rFonts w:hint="eastAsia"/>
              </w:rPr>
              <w:t>）以及</w:t>
            </w:r>
            <w:r w:rsidRPr="00A675DA">
              <w:t>H5</w:t>
            </w:r>
            <w:r w:rsidRPr="00A675DA">
              <w:rPr>
                <w:rFonts w:hint="eastAsia"/>
              </w:rPr>
              <w:t>和</w:t>
            </w:r>
            <w:r w:rsidRPr="00A675DA">
              <w:t>H7</w:t>
            </w:r>
            <w:r w:rsidRPr="00A675DA">
              <w:rPr>
                <w:rFonts w:hint="eastAsia"/>
              </w:rPr>
              <w:t>低致病性禽流感（</w:t>
            </w:r>
            <w:r w:rsidRPr="00A675DA">
              <w:t>LPAI</w:t>
            </w:r>
            <w:r w:rsidRPr="00A675DA">
              <w:rPr>
                <w:rFonts w:hint="eastAsia"/>
              </w:rPr>
              <w:t>）是出口国应通报的疾病。</w:t>
            </w:r>
            <w:r w:rsidRPr="00A675DA">
              <w:t xml:space="preserve"> b .</w:t>
            </w:r>
            <w:r w:rsidRPr="00A675DA">
              <w:rPr>
                <w:rFonts w:hint="eastAsia"/>
              </w:rPr>
              <w:t>根据世界动物卫生组织（</w:t>
            </w:r>
            <w:r w:rsidRPr="00A675DA">
              <w:t>OIE</w:t>
            </w:r>
            <w:r w:rsidRPr="00A675DA">
              <w:rPr>
                <w:rFonts w:hint="eastAsia"/>
              </w:rPr>
              <w:t>）的定义，肉类来源的禽类未接种</w:t>
            </w:r>
            <w:r w:rsidRPr="00A675DA">
              <w:t>H5</w:t>
            </w:r>
            <w:r w:rsidRPr="00A675DA">
              <w:rPr>
                <w:rFonts w:hint="eastAsia"/>
              </w:rPr>
              <w:t>和</w:t>
            </w:r>
            <w:r w:rsidRPr="00A675DA">
              <w:t>H7</w:t>
            </w:r>
            <w:r w:rsidRPr="00A675DA">
              <w:rPr>
                <w:rFonts w:hint="eastAsia"/>
              </w:rPr>
              <w:t>亚型禽流感疫苗。</w:t>
            </w:r>
            <w:r w:rsidRPr="00A675DA">
              <w:t xml:space="preserve"> c .</w:t>
            </w:r>
            <w:r w:rsidRPr="00A675DA">
              <w:rPr>
                <w:rFonts w:hint="eastAsia"/>
              </w:rPr>
              <w:t>家禽肉和肉制品不是源自丹麦朗厄兰市的禽类。</w:t>
            </w:r>
            <w:r w:rsidRPr="00A675DA">
              <w:t xml:space="preserve"> d.</w:t>
            </w:r>
            <w:r w:rsidRPr="00A675DA">
              <w:rPr>
                <w:rFonts w:hint="eastAsia"/>
              </w:rPr>
              <w:t>肉类来源的家禽是在丹麦出生、饲养和屠宰的，或者是从具有同等家禽健康状况的国家合法进口的日龄雏鸡。</w:t>
            </w:r>
          </w:p>
        </w:tc>
      </w:tr>
      <w:tr w:rsidR="00B907F0" w:rsidTr="008E796A">
        <w:tc>
          <w:tcPr>
            <w:tcW w:w="1384" w:type="dxa"/>
            <w:vMerge/>
          </w:tcPr>
          <w:p w:rsidR="00B907F0" w:rsidRDefault="00B907F0"/>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68</w:t>
            </w:r>
          </w:p>
        </w:tc>
        <w:tc>
          <w:tcPr>
            <w:tcW w:w="12223" w:type="dxa"/>
          </w:tcPr>
          <w:p w:rsidR="00B907F0" w:rsidRDefault="00B907F0" w:rsidP="00A675DA">
            <w:r>
              <w:rPr>
                <w:rFonts w:hint="eastAsia"/>
              </w:rPr>
              <w:t>新加坡对荷兰受高致病性禽流感疫情区影响的禽类产品实施临时进口限制。</w:t>
            </w:r>
            <w:r>
              <w:t>2022</w:t>
            </w:r>
            <w:r>
              <w:rPr>
                <w:rFonts w:hint="eastAsia"/>
              </w:rPr>
              <w:t>年</w:t>
            </w:r>
            <w:r>
              <w:t>4</w:t>
            </w:r>
            <w:r>
              <w:rPr>
                <w:rFonts w:hint="eastAsia"/>
              </w:rPr>
              <w:t>月</w:t>
            </w:r>
            <w:r>
              <w:t>11</w:t>
            </w:r>
            <w:r>
              <w:rPr>
                <w:rFonts w:hint="eastAsia"/>
              </w:rPr>
              <w:t>日，新加坡食品局（</w:t>
            </w:r>
            <w:r>
              <w:t>SFA</w:t>
            </w:r>
            <w:r>
              <w:rPr>
                <w:rFonts w:hint="eastAsia"/>
              </w:rPr>
              <w:t>）发布消息称对荷兰受禽流感疫情影响地区的家禽及其产品的进口实施临时限制。</w:t>
            </w:r>
          </w:p>
          <w:p w:rsidR="00B907F0" w:rsidRDefault="00B907F0" w:rsidP="00A675DA">
            <w:r>
              <w:rPr>
                <w:rFonts w:hint="eastAsia"/>
              </w:rPr>
              <w:t>由于荷兰多地区的家禽养殖场发生</w:t>
            </w:r>
            <w:r>
              <w:t>H5</w:t>
            </w:r>
            <w:r>
              <w:rPr>
                <w:rFonts w:hint="eastAsia"/>
              </w:rPr>
              <w:t>型高致病性禽流感疫情。新加坡将对疫情受影响地区周围</w:t>
            </w:r>
            <w:r>
              <w:t>10</w:t>
            </w:r>
            <w:r>
              <w:rPr>
                <w:rFonts w:hint="eastAsia"/>
              </w:rPr>
              <w:t>公里内的家禽及其产品的进口实施临时限制。符合世界动物卫生组织（</w:t>
            </w:r>
            <w:r>
              <w:t>OIE</w:t>
            </w:r>
            <w:r>
              <w:rPr>
                <w:rFonts w:hint="eastAsia"/>
              </w:rPr>
              <w:t>）禽流感病毒灭活要求热处理的家禽产品不会受到进口限制的影响。</w:t>
            </w:r>
          </w:p>
          <w:p w:rsidR="00B907F0" w:rsidRDefault="00B907F0" w:rsidP="00A675DA">
            <w:r>
              <w:rPr>
                <w:rFonts w:hint="eastAsia"/>
              </w:rPr>
              <w:t>从以下受影响地区出口的家禽，如符合以下屠宰和出口日期，将继续被接受进口。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98"/>
              <w:gridCol w:w="1984"/>
              <w:gridCol w:w="2694"/>
            </w:tblGrid>
            <w:tr w:rsidR="00B907F0" w:rsidTr="008E796A">
              <w:tc>
                <w:tcPr>
                  <w:tcW w:w="3998"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rPr>
                      <w:rFonts w:hint="eastAsia"/>
                    </w:rPr>
                    <w:t>地区</w:t>
                  </w:r>
                </w:p>
              </w:tc>
              <w:tc>
                <w:tcPr>
                  <w:tcW w:w="1984"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rPr>
                      <w:rFonts w:hint="eastAsia"/>
                    </w:rPr>
                    <w:t>屠宰日期</w:t>
                  </w:r>
                </w:p>
              </w:tc>
              <w:tc>
                <w:tcPr>
                  <w:tcW w:w="2694"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rPr>
                      <w:rFonts w:hint="eastAsia"/>
                    </w:rPr>
                    <w:t>出口日期</w:t>
                  </w:r>
                </w:p>
              </w:tc>
            </w:tr>
            <w:tr w:rsidR="00B907F0" w:rsidTr="008E796A">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A675DA">
                  <w:r>
                    <w:rPr>
                      <w:rFonts w:hint="eastAsia"/>
                    </w:rPr>
                    <w:t>海尔德兰省</w:t>
                  </w:r>
                  <w:r>
                    <w:t>Gorssel</w:t>
                  </w:r>
                  <w:r>
                    <w:rPr>
                      <w:rFonts w:hint="eastAsia"/>
                    </w:rPr>
                    <w:t>市</w:t>
                  </w:r>
                  <w:r>
                    <w:t>Eefde</w:t>
                  </w:r>
                  <w:r>
                    <w:rPr>
                      <w:rFonts w:hint="eastAsia"/>
                    </w:rPr>
                    <w:t>镇</w:t>
                  </w:r>
                </w:p>
              </w:tc>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1</w:t>
                  </w:r>
                  <w:r>
                    <w:rPr>
                      <w:rFonts w:hint="eastAsia"/>
                    </w:rPr>
                    <w:t>月</w:t>
                  </w:r>
                  <w:r>
                    <w:t>25</w:t>
                  </w:r>
                  <w:r>
                    <w:rPr>
                      <w:rFonts w:hint="eastAsia"/>
                    </w:rPr>
                    <w:t>日之前</w:t>
                  </w:r>
                </w:p>
              </w:tc>
              <w:tc>
                <w:tcPr>
                  <w:tcW w:w="2694"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8</w:t>
                  </w:r>
                  <w:r>
                    <w:rPr>
                      <w:rFonts w:hint="eastAsia"/>
                    </w:rPr>
                    <w:t>日之前</w:t>
                  </w:r>
                </w:p>
              </w:tc>
            </w:tr>
            <w:tr w:rsidR="00B907F0" w:rsidTr="008E796A">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A675DA">
                  <w:r>
                    <w:rPr>
                      <w:rFonts w:hint="eastAsia"/>
                    </w:rPr>
                    <w:t>格罗宁根省腾布尔市</w:t>
                  </w:r>
                  <w:r>
                    <w:t>Woltersum</w:t>
                  </w:r>
                  <w:r>
                    <w:rPr>
                      <w:rFonts w:hint="eastAsia"/>
                    </w:rPr>
                    <w:t>镇</w:t>
                  </w:r>
                </w:p>
              </w:tc>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1</w:t>
                  </w:r>
                  <w:r>
                    <w:rPr>
                      <w:rFonts w:hint="eastAsia"/>
                    </w:rPr>
                    <w:t>月</w:t>
                  </w:r>
                  <w:r>
                    <w:t>31</w:t>
                  </w:r>
                  <w:r>
                    <w:rPr>
                      <w:rFonts w:hint="eastAsia"/>
                    </w:rPr>
                    <w:t>日之前</w:t>
                  </w:r>
                </w:p>
              </w:tc>
              <w:tc>
                <w:tcPr>
                  <w:tcW w:w="2694"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14</w:t>
                  </w:r>
                  <w:r>
                    <w:rPr>
                      <w:rFonts w:hint="eastAsia"/>
                    </w:rPr>
                    <w:t>日之前</w:t>
                  </w:r>
                </w:p>
              </w:tc>
            </w:tr>
            <w:tr w:rsidR="00B907F0" w:rsidTr="008E796A">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A675DA">
                  <w:r>
                    <w:rPr>
                      <w:rFonts w:hint="eastAsia"/>
                    </w:rPr>
                    <w:t>海尔德兰省埃尔默洛市</w:t>
                  </w:r>
                  <w:r>
                    <w:t>Putten</w:t>
                  </w:r>
                  <w:r>
                    <w:rPr>
                      <w:rFonts w:hint="eastAsia"/>
                    </w:rPr>
                    <w:t>镇</w:t>
                  </w:r>
                </w:p>
              </w:tc>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1</w:t>
                  </w:r>
                  <w:r>
                    <w:rPr>
                      <w:rFonts w:hint="eastAsia"/>
                    </w:rPr>
                    <w:t>日之前</w:t>
                  </w:r>
                </w:p>
              </w:tc>
              <w:tc>
                <w:tcPr>
                  <w:tcW w:w="2694"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15</w:t>
                  </w:r>
                  <w:r>
                    <w:rPr>
                      <w:rFonts w:hint="eastAsia"/>
                    </w:rPr>
                    <w:t>日之前</w:t>
                  </w:r>
                </w:p>
              </w:tc>
            </w:tr>
            <w:tr w:rsidR="00B907F0" w:rsidTr="008E796A">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A675DA">
                  <w:r>
                    <w:rPr>
                      <w:rFonts w:hint="eastAsia"/>
                    </w:rPr>
                    <w:t>格罗宁根省埃姆斯蒙德市</w:t>
                  </w:r>
                  <w:r>
                    <w:t>Uithuizen</w:t>
                  </w:r>
                  <w:r>
                    <w:rPr>
                      <w:rFonts w:hint="eastAsia"/>
                    </w:rPr>
                    <w:t>镇</w:t>
                  </w:r>
                </w:p>
              </w:tc>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6</w:t>
                  </w:r>
                  <w:r>
                    <w:rPr>
                      <w:rFonts w:hint="eastAsia"/>
                    </w:rPr>
                    <w:t>日之前</w:t>
                  </w:r>
                </w:p>
              </w:tc>
              <w:tc>
                <w:tcPr>
                  <w:tcW w:w="2694"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20</w:t>
                  </w:r>
                  <w:r>
                    <w:rPr>
                      <w:rFonts w:hint="eastAsia"/>
                    </w:rPr>
                    <w:t>日</w:t>
                  </w:r>
                  <w:r w:rsidRPr="0013139D">
                    <w:rPr>
                      <w:rFonts w:hint="eastAsia"/>
                    </w:rPr>
                    <w:t>之前</w:t>
                  </w:r>
                </w:p>
              </w:tc>
            </w:tr>
            <w:tr w:rsidR="00B907F0" w:rsidTr="008E796A">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A675DA">
                  <w:r>
                    <w:rPr>
                      <w:rFonts w:hint="eastAsia"/>
                    </w:rPr>
                    <w:t>格罗宁根省埃姆斯蒙德市</w:t>
                  </w:r>
                  <w:r>
                    <w:t>Woltersum</w:t>
                  </w:r>
                  <w:r>
                    <w:rPr>
                      <w:rFonts w:hint="eastAsia"/>
                    </w:rPr>
                    <w:t>镇</w:t>
                  </w:r>
                </w:p>
              </w:tc>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10</w:t>
                  </w:r>
                  <w:r>
                    <w:rPr>
                      <w:rFonts w:hint="eastAsia"/>
                    </w:rPr>
                    <w:t>日之前</w:t>
                  </w:r>
                </w:p>
              </w:tc>
              <w:tc>
                <w:tcPr>
                  <w:tcW w:w="2694"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24</w:t>
                  </w:r>
                  <w:r>
                    <w:rPr>
                      <w:rFonts w:hint="eastAsia"/>
                    </w:rPr>
                    <w:t>日之前</w:t>
                  </w:r>
                </w:p>
              </w:tc>
            </w:tr>
            <w:tr w:rsidR="00B907F0" w:rsidTr="008E796A">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A675DA">
                  <w:r>
                    <w:rPr>
                      <w:rFonts w:hint="eastAsia"/>
                    </w:rPr>
                    <w:t>格罗宁根省斯洛赫特伦市</w:t>
                  </w:r>
                  <w:r>
                    <w:t>Hellum</w:t>
                  </w:r>
                  <w:r>
                    <w:rPr>
                      <w:rFonts w:hint="eastAsia"/>
                    </w:rPr>
                    <w:t>镇</w:t>
                  </w:r>
                </w:p>
              </w:tc>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13</w:t>
                  </w:r>
                  <w:r>
                    <w:rPr>
                      <w:rFonts w:hint="eastAsia"/>
                    </w:rPr>
                    <w:t>日之前</w:t>
                  </w:r>
                </w:p>
              </w:tc>
              <w:tc>
                <w:tcPr>
                  <w:tcW w:w="2694"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27</w:t>
                  </w:r>
                  <w:r>
                    <w:rPr>
                      <w:rFonts w:hint="eastAsia"/>
                    </w:rPr>
                    <w:t>日之前</w:t>
                  </w:r>
                </w:p>
              </w:tc>
            </w:tr>
            <w:tr w:rsidR="00B907F0" w:rsidTr="008E796A">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A675DA">
                  <w:r>
                    <w:rPr>
                      <w:rFonts w:hint="eastAsia"/>
                    </w:rPr>
                    <w:t>格罗宁根省代尔夫宰尔市</w:t>
                  </w:r>
                  <w:r>
                    <w:t>Losdorp</w:t>
                  </w:r>
                  <w:r>
                    <w:rPr>
                      <w:rFonts w:hint="eastAsia"/>
                    </w:rPr>
                    <w:t>镇</w:t>
                  </w:r>
                </w:p>
              </w:tc>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14</w:t>
                  </w:r>
                  <w:r>
                    <w:rPr>
                      <w:rFonts w:hint="eastAsia"/>
                    </w:rPr>
                    <w:t>日之前</w:t>
                  </w:r>
                </w:p>
              </w:tc>
              <w:tc>
                <w:tcPr>
                  <w:tcW w:w="2694"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28</w:t>
                  </w:r>
                  <w:r>
                    <w:rPr>
                      <w:rFonts w:hint="eastAsia"/>
                    </w:rPr>
                    <w:t>日之前</w:t>
                  </w:r>
                </w:p>
              </w:tc>
            </w:tr>
            <w:tr w:rsidR="00B907F0" w:rsidTr="008E796A">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A675DA">
                  <w:r>
                    <w:rPr>
                      <w:rFonts w:hint="eastAsia"/>
                    </w:rPr>
                    <w:t>乌特勒支省雷嫩市</w:t>
                  </w:r>
                  <w:r>
                    <w:t>Wageningen</w:t>
                  </w:r>
                  <w:r>
                    <w:rPr>
                      <w:rFonts w:hint="eastAsia"/>
                    </w:rPr>
                    <w:t>镇</w:t>
                  </w:r>
                </w:p>
              </w:tc>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14</w:t>
                  </w:r>
                  <w:r>
                    <w:rPr>
                      <w:rFonts w:hint="eastAsia"/>
                    </w:rPr>
                    <w:t>日之前</w:t>
                  </w:r>
                </w:p>
              </w:tc>
              <w:tc>
                <w:tcPr>
                  <w:tcW w:w="2694"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28</w:t>
                  </w:r>
                  <w:r>
                    <w:rPr>
                      <w:rFonts w:hint="eastAsia"/>
                    </w:rPr>
                    <w:t>日之前</w:t>
                  </w:r>
                </w:p>
              </w:tc>
            </w:tr>
            <w:tr w:rsidR="00B907F0" w:rsidTr="008E796A">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A675DA">
                  <w:r>
                    <w:rPr>
                      <w:rFonts w:hint="eastAsia"/>
                    </w:rPr>
                    <w:t>北布拉班特省索恩和布勒赫尔市</w:t>
                  </w:r>
                </w:p>
              </w:tc>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15</w:t>
                  </w:r>
                  <w:r>
                    <w:rPr>
                      <w:rFonts w:hint="eastAsia"/>
                    </w:rPr>
                    <w:t>日之前</w:t>
                  </w:r>
                </w:p>
              </w:tc>
              <w:tc>
                <w:tcPr>
                  <w:tcW w:w="2694"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3</w:t>
                  </w:r>
                  <w:r>
                    <w:rPr>
                      <w:rFonts w:hint="eastAsia"/>
                    </w:rPr>
                    <w:t>月</w:t>
                  </w:r>
                  <w:r>
                    <w:t>1</w:t>
                  </w:r>
                  <w:r>
                    <w:rPr>
                      <w:rFonts w:hint="eastAsia"/>
                    </w:rPr>
                    <w:t>日之前</w:t>
                  </w:r>
                </w:p>
              </w:tc>
            </w:tr>
            <w:tr w:rsidR="00B907F0" w:rsidTr="008E796A">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A675DA">
                  <w:r>
                    <w:rPr>
                      <w:rFonts w:hint="eastAsia"/>
                    </w:rPr>
                    <w:t>海尔德兰省马斯德里尔市</w:t>
                  </w:r>
                  <w:r>
                    <w:t>Hedel</w:t>
                  </w:r>
                  <w:r>
                    <w:rPr>
                      <w:rFonts w:hint="eastAsia"/>
                    </w:rPr>
                    <w:t>镇</w:t>
                  </w:r>
                </w:p>
              </w:tc>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17</w:t>
                  </w:r>
                  <w:r>
                    <w:rPr>
                      <w:rFonts w:hint="eastAsia"/>
                    </w:rPr>
                    <w:t>日之前</w:t>
                  </w:r>
                </w:p>
              </w:tc>
              <w:tc>
                <w:tcPr>
                  <w:tcW w:w="2694"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3</w:t>
                  </w:r>
                  <w:r>
                    <w:rPr>
                      <w:rFonts w:hint="eastAsia"/>
                    </w:rPr>
                    <w:t>月</w:t>
                  </w:r>
                  <w:r>
                    <w:t>3</w:t>
                  </w:r>
                  <w:r>
                    <w:rPr>
                      <w:rFonts w:hint="eastAsia"/>
                    </w:rPr>
                    <w:t>日之前</w:t>
                  </w:r>
                </w:p>
              </w:tc>
            </w:tr>
            <w:tr w:rsidR="00B907F0" w:rsidTr="008E796A">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A675DA">
                  <w:r>
                    <w:rPr>
                      <w:rFonts w:hint="eastAsia"/>
                    </w:rPr>
                    <w:t>乌特勒支省奥德瓦特市</w:t>
                  </w:r>
                  <w:r>
                    <w:t>Hekend</w:t>
                  </w:r>
                  <w:r>
                    <w:rPr>
                      <w:rFonts w:hint="eastAsia"/>
                    </w:rPr>
                    <w:t>镇</w:t>
                  </w:r>
                </w:p>
              </w:tc>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19</w:t>
                  </w:r>
                  <w:r>
                    <w:rPr>
                      <w:rFonts w:hint="eastAsia"/>
                    </w:rPr>
                    <w:t>日之前</w:t>
                  </w:r>
                </w:p>
              </w:tc>
              <w:tc>
                <w:tcPr>
                  <w:tcW w:w="2694"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3</w:t>
                  </w:r>
                  <w:r>
                    <w:rPr>
                      <w:rFonts w:hint="eastAsia"/>
                    </w:rPr>
                    <w:t>月</w:t>
                  </w:r>
                  <w:r>
                    <w:t>5</w:t>
                  </w:r>
                  <w:r>
                    <w:rPr>
                      <w:rFonts w:hint="eastAsia"/>
                    </w:rPr>
                    <w:t>日之前</w:t>
                  </w:r>
                </w:p>
              </w:tc>
            </w:tr>
            <w:tr w:rsidR="00B907F0" w:rsidTr="008E796A">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A675DA">
                  <w:r>
                    <w:rPr>
                      <w:rFonts w:hint="eastAsia"/>
                    </w:rPr>
                    <w:t>海尔德兰省埃德市</w:t>
                  </w:r>
                  <w:r>
                    <w:t>Lunteren</w:t>
                  </w:r>
                  <w:r>
                    <w:rPr>
                      <w:rFonts w:hint="eastAsia"/>
                    </w:rPr>
                    <w:t>镇</w:t>
                  </w:r>
                </w:p>
              </w:tc>
              <w:tc>
                <w:tcPr>
                  <w:tcW w:w="0" w:type="auto"/>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2</w:t>
                  </w:r>
                  <w:r>
                    <w:rPr>
                      <w:rFonts w:hint="eastAsia"/>
                    </w:rPr>
                    <w:t>月</w:t>
                  </w:r>
                  <w:r>
                    <w:t>24</w:t>
                  </w:r>
                  <w:r>
                    <w:rPr>
                      <w:rFonts w:hint="eastAsia"/>
                    </w:rPr>
                    <w:t>日之前</w:t>
                  </w:r>
                </w:p>
              </w:tc>
              <w:tc>
                <w:tcPr>
                  <w:tcW w:w="2694" w:type="dxa"/>
                  <w:tcBorders>
                    <w:top w:val="single" w:sz="4" w:space="0" w:color="000000"/>
                    <w:left w:val="single" w:sz="4" w:space="0" w:color="000000"/>
                    <w:bottom w:val="single" w:sz="4" w:space="0" w:color="000000"/>
                    <w:right w:val="single" w:sz="4" w:space="0" w:color="000000"/>
                  </w:tcBorders>
                </w:tcPr>
                <w:p w:rsidR="00B907F0" w:rsidRDefault="00B907F0" w:rsidP="008E796A">
                  <w:pPr>
                    <w:jc w:val="center"/>
                  </w:pPr>
                  <w:r>
                    <w:t>3</w:t>
                  </w:r>
                  <w:r>
                    <w:rPr>
                      <w:rFonts w:hint="eastAsia"/>
                    </w:rPr>
                    <w:t>月</w:t>
                  </w:r>
                  <w:r>
                    <w:t>10</w:t>
                  </w:r>
                  <w:r>
                    <w:rPr>
                      <w:rFonts w:hint="eastAsia"/>
                    </w:rPr>
                    <w:t>之前</w:t>
                  </w:r>
                </w:p>
              </w:tc>
            </w:tr>
          </w:tbl>
          <w:p w:rsidR="00B907F0" w:rsidRDefault="00B907F0" w:rsidP="00A675DA"/>
        </w:tc>
      </w:tr>
      <w:tr w:rsidR="00B907F0" w:rsidTr="008E796A">
        <w:tc>
          <w:tcPr>
            <w:tcW w:w="1384" w:type="dxa"/>
            <w:vAlign w:val="center"/>
          </w:tcPr>
          <w:p w:rsidR="00B907F0" w:rsidRPr="008E796A" w:rsidRDefault="00B907F0" w:rsidP="008E796A">
            <w:pPr>
              <w:jc w:val="center"/>
              <w:rPr>
                <w:b/>
              </w:rPr>
            </w:pPr>
            <w:r w:rsidRPr="008E796A">
              <w:rPr>
                <w:rFonts w:hint="eastAsia"/>
                <w:b/>
              </w:rPr>
              <w:t>澳大利亚</w:t>
            </w:r>
          </w:p>
        </w:tc>
        <w:tc>
          <w:tcPr>
            <w:tcW w:w="567" w:type="dxa"/>
            <w:vAlign w:val="center"/>
          </w:tcPr>
          <w:p w:rsidR="00B907F0" w:rsidRPr="008E796A" w:rsidRDefault="00B907F0" w:rsidP="008E796A">
            <w:pPr>
              <w:jc w:val="center"/>
              <w:rPr>
                <w:rFonts w:ascii="宋体" w:hAnsi="宋体"/>
                <w:b/>
                <w:sz w:val="24"/>
              </w:rPr>
            </w:pPr>
            <w:r w:rsidRPr="008E796A">
              <w:rPr>
                <w:rFonts w:ascii="宋体" w:hAnsi="宋体"/>
                <w:b/>
                <w:sz w:val="24"/>
              </w:rPr>
              <w:t>69</w:t>
            </w:r>
          </w:p>
        </w:tc>
        <w:tc>
          <w:tcPr>
            <w:tcW w:w="12223" w:type="dxa"/>
          </w:tcPr>
          <w:p w:rsidR="00B907F0" w:rsidRPr="0013139D" w:rsidRDefault="00B907F0">
            <w:r w:rsidRPr="0013139D">
              <w:rPr>
                <w:rFonts w:hint="eastAsia"/>
              </w:rPr>
              <w:t>澳大利亚修改澳新食品标准法典“食品和食品分类”中的监管措施。该提案旨在修订澳新食品标准法典（下称“法典”），修改附件</w:t>
            </w:r>
            <w:r w:rsidRPr="0013139D">
              <w:t>22</w:t>
            </w:r>
            <w:r w:rsidRPr="0013139D">
              <w:rPr>
                <w:rFonts w:hint="eastAsia"/>
              </w:rPr>
              <w:t>“食品和食品分类”中的监管措施，以便同国际食品法典委员会（</w:t>
            </w:r>
            <w:r w:rsidRPr="0013139D">
              <w:t>Codex</w:t>
            </w:r>
            <w:r w:rsidRPr="0013139D">
              <w:rPr>
                <w:rFonts w:hint="eastAsia"/>
              </w:rPr>
              <w:t>）制定的且由澳大利亚农药和兽药管理局（</w:t>
            </w:r>
            <w:r w:rsidRPr="0013139D">
              <w:t>APVMA</w:t>
            </w:r>
            <w:r w:rsidRPr="0013139D">
              <w:rPr>
                <w:rFonts w:hint="eastAsia"/>
              </w:rPr>
              <w:t>）采用的分类体系进行统一。</w:t>
            </w:r>
            <w:r w:rsidRPr="0013139D">
              <w:t xml:space="preserve"> </w:t>
            </w:r>
            <w:r w:rsidRPr="0013139D">
              <w:rPr>
                <w:rFonts w:hint="eastAsia"/>
              </w:rPr>
              <w:t>随着</w:t>
            </w:r>
            <w:r w:rsidRPr="0013139D">
              <w:t>Codex</w:t>
            </w:r>
            <w:r w:rsidRPr="0013139D">
              <w:rPr>
                <w:rFonts w:hint="eastAsia"/>
              </w:rPr>
              <w:t>进一步对其食品分类体系进行审查，本提案的重点主要是作物商品，但提议将鲍鱼（目前列入法典附件</w:t>
            </w:r>
            <w:r w:rsidRPr="0013139D">
              <w:t>20</w:t>
            </w:r>
            <w:r w:rsidRPr="0013139D">
              <w:rPr>
                <w:rFonts w:hint="eastAsia"/>
              </w:rPr>
              <w:t>）纳入软体动物类；其他海洋无脊椎动物继续列入现有类别下，鱼类、甲壳类和软体动物列入“动物源性初级食品”。</w:t>
            </w:r>
            <w:r w:rsidRPr="0013139D">
              <w:t xml:space="preserve"> </w:t>
            </w:r>
            <w:r w:rsidRPr="0013139D">
              <w:rPr>
                <w:rFonts w:hint="eastAsia"/>
              </w:rPr>
              <w:t>提议的变更包括将目前列入附件</w:t>
            </w:r>
            <w:r w:rsidRPr="0013139D">
              <w:t>20</w:t>
            </w:r>
            <w:r w:rsidRPr="0013139D">
              <w:rPr>
                <w:rFonts w:hint="eastAsia"/>
              </w:rPr>
              <w:t>但未明确列入附件</w:t>
            </w:r>
            <w:r w:rsidRPr="0013139D">
              <w:t>22</w:t>
            </w:r>
            <w:r w:rsidRPr="0013139D">
              <w:rPr>
                <w:rFonts w:hint="eastAsia"/>
              </w:rPr>
              <w:t>（尽管进行了说明）的约</w:t>
            </w:r>
            <w:r w:rsidRPr="0013139D">
              <w:t>60</w:t>
            </w:r>
            <w:r w:rsidRPr="0013139D">
              <w:rPr>
                <w:rFonts w:hint="eastAsia"/>
              </w:rPr>
              <w:t>种商品归入现有的相关食品类</w:t>
            </w:r>
            <w:r w:rsidRPr="0013139D">
              <w:t>/</w:t>
            </w:r>
            <w:r w:rsidRPr="0013139D">
              <w:rPr>
                <w:rFonts w:hint="eastAsia"/>
              </w:rPr>
              <w:t>子类或加工商品类。</w:t>
            </w:r>
            <w:r w:rsidRPr="0013139D">
              <w:t xml:space="preserve"> Codex</w:t>
            </w:r>
            <w:r w:rsidRPr="0013139D">
              <w:rPr>
                <w:rFonts w:hint="eastAsia"/>
              </w:rPr>
              <w:t>未涵盖的附件</w:t>
            </w:r>
            <w:r w:rsidRPr="0013139D">
              <w:t>20</w:t>
            </w:r>
            <w:r w:rsidRPr="0013139D">
              <w:rPr>
                <w:rFonts w:hint="eastAsia"/>
              </w:rPr>
              <w:t>现有食品以及</w:t>
            </w:r>
            <w:r w:rsidRPr="0013139D">
              <w:t>APVMA</w:t>
            </w:r>
            <w:r w:rsidRPr="0013139D">
              <w:rPr>
                <w:rFonts w:hint="eastAsia"/>
              </w:rPr>
              <w:t>作物类同样纳入到相关食品类或子类中。</w:t>
            </w:r>
            <w:r w:rsidRPr="0013139D">
              <w:t xml:space="preserve"> </w:t>
            </w:r>
            <w:r w:rsidRPr="0013139D">
              <w:rPr>
                <w:rFonts w:hint="eastAsia"/>
              </w:rPr>
              <w:t>由于食品名称的变更以及某些食品分类的改变，</w:t>
            </w:r>
            <w:r w:rsidRPr="0013139D">
              <w:t>FSANZ</w:t>
            </w:r>
            <w:r w:rsidRPr="0013139D">
              <w:rPr>
                <w:rFonts w:hint="eastAsia"/>
              </w:rPr>
              <w:t>还提议进行一系列相应变更，确保现行的最大残留限量（</w:t>
            </w:r>
            <w:r w:rsidRPr="0013139D">
              <w:t>MRL</w:t>
            </w:r>
            <w:r w:rsidRPr="0013139D">
              <w:rPr>
                <w:rFonts w:hint="eastAsia"/>
              </w:rPr>
              <w:t>）要求仍然适用。附件</w:t>
            </w:r>
            <w:r w:rsidRPr="0013139D">
              <w:t>20</w:t>
            </w:r>
            <w:r w:rsidRPr="0013139D">
              <w:rPr>
                <w:rFonts w:hint="eastAsia"/>
              </w:rPr>
              <w:t>或</w:t>
            </w:r>
            <w:r w:rsidRPr="0013139D">
              <w:t>21</w:t>
            </w:r>
            <w:r w:rsidRPr="0013139D">
              <w:rPr>
                <w:rFonts w:hint="eastAsia"/>
              </w:rPr>
              <w:t>中的最大残留限量不进行变更。</w:t>
            </w:r>
            <w:r w:rsidRPr="0013139D">
              <w:t xml:space="preserve"> </w:t>
            </w:r>
            <w:r w:rsidRPr="0013139D">
              <w:rPr>
                <w:rFonts w:hint="eastAsia"/>
              </w:rPr>
              <w:t>同时提议进行若干变更，更正拼写或提供同义词，以便消除食品名称的歧义性。</w:t>
            </w:r>
            <w:r w:rsidRPr="0013139D">
              <w:t xml:space="preserve"> </w:t>
            </w:r>
            <w:r w:rsidRPr="0013139D">
              <w:rPr>
                <w:rFonts w:hint="eastAsia"/>
              </w:rPr>
              <w:t>本提案中提议的变更旨在消除商品类别和个别食品名称（用于描述需遵守最大残留限量要求的商品）之间的不一致，提高统一性。</w:t>
            </w:r>
            <w:r w:rsidRPr="0013139D">
              <w:t xml:space="preserve"> </w:t>
            </w:r>
            <w:r w:rsidRPr="0013139D">
              <w:rPr>
                <w:rFonts w:hint="eastAsia"/>
              </w:rPr>
              <w:t>鉴于法典的其他部分同样参考了附件</w:t>
            </w:r>
            <w:r w:rsidRPr="0013139D">
              <w:t>22</w:t>
            </w:r>
            <w:r w:rsidRPr="0013139D">
              <w:rPr>
                <w:rFonts w:hint="eastAsia"/>
              </w:rPr>
              <w:t>，提出的变更将对请求统一食品进口农用和兽用（</w:t>
            </w:r>
            <w:r w:rsidRPr="0013139D">
              <w:t>agvet</w:t>
            </w:r>
            <w:r w:rsidRPr="0013139D">
              <w:rPr>
                <w:rFonts w:hint="eastAsia"/>
              </w:rPr>
              <w:t>）化学品最大残留限量的贸易伙伴给予帮助，同时，保证各类标准在法典中的一致适用。</w:t>
            </w:r>
          </w:p>
        </w:tc>
      </w:tr>
    </w:tbl>
    <w:p w:rsidR="00B907F0" w:rsidRDefault="00B907F0" w:rsidP="008B08B3">
      <w:pPr>
        <w:autoSpaceDN w:val="0"/>
        <w:adjustRightInd w:val="0"/>
        <w:snapToGrid w:val="0"/>
        <w:spacing w:line="560" w:lineRule="exact"/>
        <w:ind w:firstLineChars="200" w:firstLine="640"/>
      </w:pPr>
      <w:r>
        <w:rPr>
          <w:rStyle w:val="NormalCharacter"/>
          <w:rFonts w:ascii="方正仿宋_GBK" w:eastAsia="方正仿宋_GBK" w:cs="方正仿宋_GBK" w:hint="eastAsia"/>
          <w:kern w:val="0"/>
          <w:sz w:val="32"/>
          <w:szCs w:val="32"/>
        </w:rPr>
        <w:t>感谢关注武汉海关的技术性贸易措施工作！后期，我们将持续收集和更新</w:t>
      </w:r>
      <w:r>
        <w:rPr>
          <w:rFonts w:ascii="方正仿宋_GBK" w:eastAsia="方正仿宋_GBK" w:hint="eastAsia"/>
          <w:sz w:val="32"/>
          <w:szCs w:val="32"/>
        </w:rPr>
        <w:t>各国（地区）技术性贸易措施</w:t>
      </w:r>
      <w:r>
        <w:rPr>
          <w:rStyle w:val="NormalCharacter"/>
          <w:rFonts w:ascii="方正仿宋_GBK" w:eastAsia="方正仿宋_GBK" w:cs="方正仿宋_GBK" w:hint="eastAsia"/>
          <w:kern w:val="0"/>
          <w:sz w:val="32"/>
          <w:szCs w:val="32"/>
        </w:rPr>
        <w:t>，</w:t>
      </w:r>
      <w:r>
        <w:rPr>
          <w:rFonts w:ascii="方正仿宋_GBK" w:eastAsia="方正仿宋_GBK" w:hint="eastAsia"/>
          <w:sz w:val="32"/>
          <w:szCs w:val="32"/>
        </w:rPr>
        <w:t>根据需要及时向社会公布</w:t>
      </w:r>
      <w:r>
        <w:rPr>
          <w:rStyle w:val="NormalCharacter"/>
          <w:rFonts w:ascii="方正仿宋_GBK" w:eastAsia="方正仿宋_GBK" w:cs="方正仿宋_GBK" w:hint="eastAsia"/>
          <w:kern w:val="0"/>
          <w:sz w:val="32"/>
          <w:szCs w:val="32"/>
        </w:rPr>
        <w:t>，优化营商环境，</w:t>
      </w:r>
      <w:r>
        <w:rPr>
          <w:rFonts w:ascii="方正仿宋_GBK" w:eastAsia="方正仿宋_GBK" w:hint="eastAsia"/>
          <w:sz w:val="32"/>
          <w:szCs w:val="32"/>
        </w:rPr>
        <w:t>做好稳外贸稳外资工作，服务外贸企业，帮助企业有效应对，降低技术性贸易措施带来的影响和损失。</w:t>
      </w:r>
    </w:p>
    <w:p w:rsidR="00B907F0" w:rsidRDefault="00B907F0" w:rsidP="00681735">
      <w:pPr>
        <w:autoSpaceDN w:val="0"/>
        <w:ind w:firstLineChars="200" w:firstLine="640"/>
        <w:jc w:val="right"/>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武汉海关</w:t>
      </w:r>
      <w:r>
        <w:rPr>
          <w:rFonts w:ascii="方正仿宋_GBK" w:eastAsia="方正仿宋_GBK"/>
          <w:sz w:val="32"/>
          <w:szCs w:val="32"/>
        </w:rPr>
        <w:t xml:space="preserve">                     </w:t>
      </w:r>
    </w:p>
    <w:p w:rsidR="00B907F0" w:rsidRPr="00681735" w:rsidRDefault="00B907F0" w:rsidP="00681735">
      <w:pPr>
        <w:autoSpaceDN w:val="0"/>
        <w:ind w:firstLineChars="200" w:firstLine="640"/>
        <w:jc w:val="right"/>
        <w:rPr>
          <w:szCs w:val="21"/>
        </w:rPr>
      </w:pPr>
      <w:r>
        <w:rPr>
          <w:rFonts w:ascii="Times New Roman" w:eastAsia="方正仿宋_GBK" w:hAnsi="Times New Roman" w:cs="Times New Roman"/>
          <w:sz w:val="32"/>
          <w:szCs w:val="32"/>
        </w:rPr>
        <w:t>2022</w:t>
      </w:r>
      <w:r>
        <w:rPr>
          <w:rFonts w:ascii="Times New Roman" w:eastAsia="方正仿宋_GBK" w:cs="Times New Roman" w:hint="eastAsia"/>
          <w:sz w:val="32"/>
          <w:szCs w:val="32"/>
        </w:rPr>
        <w:t>年</w:t>
      </w:r>
      <w:r>
        <w:rPr>
          <w:rFonts w:ascii="Times New Roman" w:eastAsia="方正仿宋_GBK" w:hAnsi="Times New Roman" w:cs="Times New Roman"/>
          <w:sz w:val="32"/>
          <w:szCs w:val="32"/>
        </w:rPr>
        <w:t>5</w:t>
      </w:r>
      <w:r>
        <w:rPr>
          <w:rFonts w:ascii="Times New Roman" w:eastAsia="方正仿宋_GBK" w:cs="Times New Roman" w:hint="eastAsia"/>
          <w:sz w:val="32"/>
          <w:szCs w:val="32"/>
        </w:rPr>
        <w:t>月</w:t>
      </w:r>
      <w:r>
        <w:rPr>
          <w:rFonts w:ascii="Times New Roman" w:eastAsia="方正仿宋_GBK" w:hAnsi="Times New Roman" w:cs="Times New Roman"/>
          <w:sz w:val="32"/>
          <w:szCs w:val="32"/>
        </w:rPr>
        <w:t>5</w:t>
      </w:r>
      <w:r>
        <w:rPr>
          <w:rFonts w:ascii="Times New Roman" w:eastAsia="方正仿宋_GBK" w:cs="Times New Roman" w:hint="eastAsia"/>
          <w:sz w:val="32"/>
          <w:szCs w:val="32"/>
        </w:rPr>
        <w:t>日</w:t>
      </w:r>
    </w:p>
    <w:sectPr w:rsidR="00B907F0" w:rsidRPr="00681735" w:rsidSect="0068173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7F0" w:rsidRDefault="00B907F0" w:rsidP="008B08B3">
      <w:r>
        <w:separator/>
      </w:r>
    </w:p>
  </w:endnote>
  <w:endnote w:type="continuationSeparator" w:id="0">
    <w:p w:rsidR="00B907F0" w:rsidRDefault="00B907F0" w:rsidP="008B08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altName w:val="宋体"/>
    <w:panose1 w:val="03000509000000000000"/>
    <w:charset w:val="86"/>
    <w:family w:val="script"/>
    <w:pitch w:val="fixed"/>
    <w:sig w:usb0="00000001" w:usb1="080E0000" w:usb2="00000010" w:usb3="00000000" w:csb0="00040000" w:csb1="00000000"/>
  </w:font>
  <w:font w:name="方正楷体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7F0" w:rsidRDefault="00B907F0" w:rsidP="008B08B3">
      <w:r>
        <w:separator/>
      </w:r>
    </w:p>
  </w:footnote>
  <w:footnote w:type="continuationSeparator" w:id="0">
    <w:p w:rsidR="00B907F0" w:rsidRDefault="00B907F0" w:rsidP="008B08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1735"/>
    <w:rsid w:val="000F7394"/>
    <w:rsid w:val="00115297"/>
    <w:rsid w:val="001168A1"/>
    <w:rsid w:val="0013139D"/>
    <w:rsid w:val="00155194"/>
    <w:rsid w:val="00226963"/>
    <w:rsid w:val="002511A0"/>
    <w:rsid w:val="004C323D"/>
    <w:rsid w:val="00542E7B"/>
    <w:rsid w:val="00681735"/>
    <w:rsid w:val="006860DE"/>
    <w:rsid w:val="0074211E"/>
    <w:rsid w:val="008B08B3"/>
    <w:rsid w:val="008E69F3"/>
    <w:rsid w:val="008E796A"/>
    <w:rsid w:val="009332C5"/>
    <w:rsid w:val="00A675DA"/>
    <w:rsid w:val="00AF6C61"/>
    <w:rsid w:val="00B70340"/>
    <w:rsid w:val="00B85CAA"/>
    <w:rsid w:val="00B907F0"/>
    <w:rsid w:val="00C352A7"/>
    <w:rsid w:val="00D2335A"/>
    <w:rsid w:val="00DB3BC0"/>
    <w:rsid w:val="00DF0502"/>
    <w:rsid w:val="00DF71C0"/>
    <w:rsid w:val="00EC00D8"/>
    <w:rsid w:val="00FC4EBE"/>
    <w:rsid w:val="00FD38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735"/>
    <w:pPr>
      <w:widowControl w:val="0"/>
      <w:jc w:val="both"/>
    </w:pPr>
    <w:rPr>
      <w:rFonts w:cs="Arial"/>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8173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acter">
    <w:name w:val="NormalCharacter"/>
    <w:uiPriority w:val="99"/>
    <w:rsid w:val="00681735"/>
  </w:style>
  <w:style w:type="paragraph" w:styleId="BalloonText">
    <w:name w:val="Balloon Text"/>
    <w:basedOn w:val="Normal"/>
    <w:link w:val="BalloonTextChar"/>
    <w:uiPriority w:val="99"/>
    <w:semiHidden/>
    <w:rsid w:val="0074211E"/>
    <w:rPr>
      <w:sz w:val="18"/>
      <w:szCs w:val="18"/>
    </w:rPr>
  </w:style>
  <w:style w:type="character" w:customStyle="1" w:styleId="BalloonTextChar">
    <w:name w:val="Balloon Text Char"/>
    <w:basedOn w:val="DefaultParagraphFont"/>
    <w:link w:val="BalloonText"/>
    <w:uiPriority w:val="99"/>
    <w:semiHidden/>
    <w:locked/>
    <w:rsid w:val="0074211E"/>
    <w:rPr>
      <w:rFonts w:ascii="Calibri" w:eastAsia="宋体" w:hAnsi="Calibri" w:cs="Arial"/>
      <w:sz w:val="18"/>
      <w:szCs w:val="18"/>
    </w:rPr>
  </w:style>
  <w:style w:type="paragraph" w:styleId="Header">
    <w:name w:val="header"/>
    <w:basedOn w:val="Normal"/>
    <w:link w:val="HeaderChar"/>
    <w:uiPriority w:val="99"/>
    <w:semiHidden/>
    <w:rsid w:val="008B08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B08B3"/>
    <w:rPr>
      <w:rFonts w:ascii="Calibri" w:eastAsia="宋体" w:hAnsi="Calibri" w:cs="Arial"/>
      <w:sz w:val="18"/>
      <w:szCs w:val="18"/>
    </w:rPr>
  </w:style>
  <w:style w:type="paragraph" w:styleId="Footer">
    <w:name w:val="footer"/>
    <w:basedOn w:val="Normal"/>
    <w:link w:val="FooterChar"/>
    <w:uiPriority w:val="99"/>
    <w:semiHidden/>
    <w:rsid w:val="008B08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B08B3"/>
    <w:rPr>
      <w:rFonts w:ascii="Calibri" w:eastAsia="宋体" w:hAnsi="Calibri" w:cs="Arial"/>
      <w:sz w:val="18"/>
      <w:szCs w:val="18"/>
    </w:rPr>
  </w:style>
</w:styles>
</file>

<file path=word/webSettings.xml><?xml version="1.0" encoding="utf-8"?>
<w:webSettings xmlns:r="http://schemas.openxmlformats.org/officeDocument/2006/relationships" xmlns:w="http://schemas.openxmlformats.org/wordprocessingml/2006/main">
  <w:divs>
    <w:div w:id="1879735850">
      <w:marLeft w:val="0"/>
      <w:marRight w:val="0"/>
      <w:marTop w:val="0"/>
      <w:marBottom w:val="0"/>
      <w:divBdr>
        <w:top w:val="none" w:sz="0" w:space="0" w:color="auto"/>
        <w:left w:val="none" w:sz="0" w:space="0" w:color="auto"/>
        <w:bottom w:val="none" w:sz="0" w:space="0" w:color="auto"/>
        <w:right w:val="none" w:sz="0" w:space="0" w:color="auto"/>
      </w:divBdr>
    </w:div>
    <w:div w:id="1879735851">
      <w:marLeft w:val="0"/>
      <w:marRight w:val="0"/>
      <w:marTop w:val="0"/>
      <w:marBottom w:val="0"/>
      <w:divBdr>
        <w:top w:val="none" w:sz="0" w:space="0" w:color="auto"/>
        <w:left w:val="none" w:sz="0" w:space="0" w:color="auto"/>
        <w:bottom w:val="none" w:sz="0" w:space="0" w:color="auto"/>
        <w:right w:val="none" w:sz="0" w:space="0" w:color="auto"/>
      </w:divBdr>
    </w:div>
    <w:div w:id="1879735852">
      <w:marLeft w:val="0"/>
      <w:marRight w:val="0"/>
      <w:marTop w:val="0"/>
      <w:marBottom w:val="0"/>
      <w:divBdr>
        <w:top w:val="none" w:sz="0" w:space="0" w:color="auto"/>
        <w:left w:val="none" w:sz="0" w:space="0" w:color="auto"/>
        <w:bottom w:val="none" w:sz="0" w:space="0" w:color="auto"/>
        <w:right w:val="none" w:sz="0" w:space="0" w:color="auto"/>
      </w:divBdr>
    </w:div>
    <w:div w:id="1879735853">
      <w:marLeft w:val="0"/>
      <w:marRight w:val="0"/>
      <w:marTop w:val="0"/>
      <w:marBottom w:val="0"/>
      <w:divBdr>
        <w:top w:val="none" w:sz="0" w:space="0" w:color="auto"/>
        <w:left w:val="none" w:sz="0" w:space="0" w:color="auto"/>
        <w:bottom w:val="none" w:sz="0" w:space="0" w:color="auto"/>
        <w:right w:val="none" w:sz="0" w:space="0" w:color="auto"/>
      </w:divBdr>
    </w:div>
    <w:div w:id="1879735854">
      <w:marLeft w:val="0"/>
      <w:marRight w:val="0"/>
      <w:marTop w:val="0"/>
      <w:marBottom w:val="0"/>
      <w:divBdr>
        <w:top w:val="none" w:sz="0" w:space="0" w:color="auto"/>
        <w:left w:val="none" w:sz="0" w:space="0" w:color="auto"/>
        <w:bottom w:val="none" w:sz="0" w:space="0" w:color="auto"/>
        <w:right w:val="none" w:sz="0" w:space="0" w:color="auto"/>
      </w:divBdr>
    </w:div>
    <w:div w:id="1879735855">
      <w:marLeft w:val="0"/>
      <w:marRight w:val="0"/>
      <w:marTop w:val="0"/>
      <w:marBottom w:val="0"/>
      <w:divBdr>
        <w:top w:val="none" w:sz="0" w:space="0" w:color="auto"/>
        <w:left w:val="none" w:sz="0" w:space="0" w:color="auto"/>
        <w:bottom w:val="none" w:sz="0" w:space="0" w:color="auto"/>
        <w:right w:val="none" w:sz="0" w:space="0" w:color="auto"/>
      </w:divBdr>
    </w:div>
    <w:div w:id="1879735856">
      <w:marLeft w:val="0"/>
      <w:marRight w:val="0"/>
      <w:marTop w:val="0"/>
      <w:marBottom w:val="0"/>
      <w:divBdr>
        <w:top w:val="none" w:sz="0" w:space="0" w:color="auto"/>
        <w:left w:val="none" w:sz="0" w:space="0" w:color="auto"/>
        <w:bottom w:val="none" w:sz="0" w:space="0" w:color="auto"/>
        <w:right w:val="none" w:sz="0" w:space="0" w:color="auto"/>
      </w:divBdr>
    </w:div>
    <w:div w:id="1879735857">
      <w:marLeft w:val="0"/>
      <w:marRight w:val="0"/>
      <w:marTop w:val="0"/>
      <w:marBottom w:val="0"/>
      <w:divBdr>
        <w:top w:val="none" w:sz="0" w:space="0" w:color="auto"/>
        <w:left w:val="none" w:sz="0" w:space="0" w:color="auto"/>
        <w:bottom w:val="none" w:sz="0" w:space="0" w:color="auto"/>
        <w:right w:val="none" w:sz="0" w:space="0" w:color="auto"/>
      </w:divBdr>
    </w:div>
    <w:div w:id="1879735858">
      <w:marLeft w:val="0"/>
      <w:marRight w:val="0"/>
      <w:marTop w:val="0"/>
      <w:marBottom w:val="0"/>
      <w:divBdr>
        <w:top w:val="none" w:sz="0" w:space="0" w:color="auto"/>
        <w:left w:val="none" w:sz="0" w:space="0" w:color="auto"/>
        <w:bottom w:val="none" w:sz="0" w:space="0" w:color="auto"/>
        <w:right w:val="none" w:sz="0" w:space="0" w:color="auto"/>
      </w:divBdr>
    </w:div>
    <w:div w:id="1879735859">
      <w:marLeft w:val="0"/>
      <w:marRight w:val="0"/>
      <w:marTop w:val="0"/>
      <w:marBottom w:val="0"/>
      <w:divBdr>
        <w:top w:val="none" w:sz="0" w:space="0" w:color="auto"/>
        <w:left w:val="none" w:sz="0" w:space="0" w:color="auto"/>
        <w:bottom w:val="none" w:sz="0" w:space="0" w:color="auto"/>
        <w:right w:val="none" w:sz="0" w:space="0" w:color="auto"/>
      </w:divBdr>
    </w:div>
    <w:div w:id="1879735860">
      <w:marLeft w:val="0"/>
      <w:marRight w:val="0"/>
      <w:marTop w:val="0"/>
      <w:marBottom w:val="0"/>
      <w:divBdr>
        <w:top w:val="none" w:sz="0" w:space="0" w:color="auto"/>
        <w:left w:val="none" w:sz="0" w:space="0" w:color="auto"/>
        <w:bottom w:val="none" w:sz="0" w:space="0" w:color="auto"/>
        <w:right w:val="none" w:sz="0" w:space="0" w:color="auto"/>
      </w:divBdr>
    </w:div>
    <w:div w:id="1879735861">
      <w:marLeft w:val="0"/>
      <w:marRight w:val="0"/>
      <w:marTop w:val="0"/>
      <w:marBottom w:val="0"/>
      <w:divBdr>
        <w:top w:val="none" w:sz="0" w:space="0" w:color="auto"/>
        <w:left w:val="none" w:sz="0" w:space="0" w:color="auto"/>
        <w:bottom w:val="none" w:sz="0" w:space="0" w:color="auto"/>
        <w:right w:val="none" w:sz="0" w:space="0" w:color="auto"/>
      </w:divBdr>
    </w:div>
    <w:div w:id="1879735862">
      <w:marLeft w:val="0"/>
      <w:marRight w:val="0"/>
      <w:marTop w:val="0"/>
      <w:marBottom w:val="0"/>
      <w:divBdr>
        <w:top w:val="none" w:sz="0" w:space="0" w:color="auto"/>
        <w:left w:val="none" w:sz="0" w:space="0" w:color="auto"/>
        <w:bottom w:val="none" w:sz="0" w:space="0" w:color="auto"/>
        <w:right w:val="none" w:sz="0" w:space="0" w:color="auto"/>
      </w:divBdr>
    </w:div>
    <w:div w:id="1879735863">
      <w:marLeft w:val="0"/>
      <w:marRight w:val="0"/>
      <w:marTop w:val="0"/>
      <w:marBottom w:val="0"/>
      <w:divBdr>
        <w:top w:val="none" w:sz="0" w:space="0" w:color="auto"/>
        <w:left w:val="none" w:sz="0" w:space="0" w:color="auto"/>
        <w:bottom w:val="none" w:sz="0" w:space="0" w:color="auto"/>
        <w:right w:val="none" w:sz="0" w:space="0" w:color="auto"/>
      </w:divBdr>
    </w:div>
    <w:div w:id="1879735864">
      <w:marLeft w:val="0"/>
      <w:marRight w:val="0"/>
      <w:marTop w:val="0"/>
      <w:marBottom w:val="0"/>
      <w:divBdr>
        <w:top w:val="none" w:sz="0" w:space="0" w:color="auto"/>
        <w:left w:val="none" w:sz="0" w:space="0" w:color="auto"/>
        <w:bottom w:val="none" w:sz="0" w:space="0" w:color="auto"/>
        <w:right w:val="none" w:sz="0" w:space="0" w:color="auto"/>
      </w:divBdr>
    </w:div>
    <w:div w:id="1879735865">
      <w:marLeft w:val="0"/>
      <w:marRight w:val="0"/>
      <w:marTop w:val="0"/>
      <w:marBottom w:val="0"/>
      <w:divBdr>
        <w:top w:val="none" w:sz="0" w:space="0" w:color="auto"/>
        <w:left w:val="none" w:sz="0" w:space="0" w:color="auto"/>
        <w:bottom w:val="none" w:sz="0" w:space="0" w:color="auto"/>
        <w:right w:val="none" w:sz="0" w:space="0" w:color="auto"/>
      </w:divBdr>
    </w:div>
    <w:div w:id="1879735866">
      <w:marLeft w:val="0"/>
      <w:marRight w:val="0"/>
      <w:marTop w:val="0"/>
      <w:marBottom w:val="0"/>
      <w:divBdr>
        <w:top w:val="none" w:sz="0" w:space="0" w:color="auto"/>
        <w:left w:val="none" w:sz="0" w:space="0" w:color="auto"/>
        <w:bottom w:val="none" w:sz="0" w:space="0" w:color="auto"/>
        <w:right w:val="none" w:sz="0" w:space="0" w:color="auto"/>
      </w:divBdr>
    </w:div>
    <w:div w:id="1879735867">
      <w:marLeft w:val="0"/>
      <w:marRight w:val="0"/>
      <w:marTop w:val="0"/>
      <w:marBottom w:val="0"/>
      <w:divBdr>
        <w:top w:val="none" w:sz="0" w:space="0" w:color="auto"/>
        <w:left w:val="none" w:sz="0" w:space="0" w:color="auto"/>
        <w:bottom w:val="none" w:sz="0" w:space="0" w:color="auto"/>
        <w:right w:val="none" w:sz="0" w:space="0" w:color="auto"/>
      </w:divBdr>
    </w:div>
    <w:div w:id="1879735868">
      <w:marLeft w:val="0"/>
      <w:marRight w:val="0"/>
      <w:marTop w:val="0"/>
      <w:marBottom w:val="0"/>
      <w:divBdr>
        <w:top w:val="none" w:sz="0" w:space="0" w:color="auto"/>
        <w:left w:val="none" w:sz="0" w:space="0" w:color="auto"/>
        <w:bottom w:val="none" w:sz="0" w:space="0" w:color="auto"/>
        <w:right w:val="none" w:sz="0" w:space="0" w:color="auto"/>
      </w:divBdr>
    </w:div>
    <w:div w:id="1879735869">
      <w:marLeft w:val="0"/>
      <w:marRight w:val="0"/>
      <w:marTop w:val="0"/>
      <w:marBottom w:val="0"/>
      <w:divBdr>
        <w:top w:val="none" w:sz="0" w:space="0" w:color="auto"/>
        <w:left w:val="none" w:sz="0" w:space="0" w:color="auto"/>
        <w:bottom w:val="none" w:sz="0" w:space="0" w:color="auto"/>
        <w:right w:val="none" w:sz="0" w:space="0" w:color="auto"/>
      </w:divBdr>
    </w:div>
    <w:div w:id="1879735870">
      <w:marLeft w:val="0"/>
      <w:marRight w:val="0"/>
      <w:marTop w:val="0"/>
      <w:marBottom w:val="0"/>
      <w:divBdr>
        <w:top w:val="none" w:sz="0" w:space="0" w:color="auto"/>
        <w:left w:val="none" w:sz="0" w:space="0" w:color="auto"/>
        <w:bottom w:val="none" w:sz="0" w:space="0" w:color="auto"/>
        <w:right w:val="none" w:sz="0" w:space="0" w:color="auto"/>
      </w:divBdr>
    </w:div>
    <w:div w:id="1879735871">
      <w:marLeft w:val="0"/>
      <w:marRight w:val="0"/>
      <w:marTop w:val="0"/>
      <w:marBottom w:val="0"/>
      <w:divBdr>
        <w:top w:val="none" w:sz="0" w:space="0" w:color="auto"/>
        <w:left w:val="none" w:sz="0" w:space="0" w:color="auto"/>
        <w:bottom w:val="none" w:sz="0" w:space="0" w:color="auto"/>
        <w:right w:val="none" w:sz="0" w:space="0" w:color="auto"/>
      </w:divBdr>
    </w:div>
    <w:div w:id="1879735872">
      <w:marLeft w:val="0"/>
      <w:marRight w:val="0"/>
      <w:marTop w:val="0"/>
      <w:marBottom w:val="0"/>
      <w:divBdr>
        <w:top w:val="none" w:sz="0" w:space="0" w:color="auto"/>
        <w:left w:val="none" w:sz="0" w:space="0" w:color="auto"/>
        <w:bottom w:val="none" w:sz="0" w:space="0" w:color="auto"/>
        <w:right w:val="none" w:sz="0" w:space="0" w:color="auto"/>
      </w:divBdr>
    </w:div>
    <w:div w:id="1879735873">
      <w:marLeft w:val="0"/>
      <w:marRight w:val="0"/>
      <w:marTop w:val="0"/>
      <w:marBottom w:val="0"/>
      <w:divBdr>
        <w:top w:val="none" w:sz="0" w:space="0" w:color="auto"/>
        <w:left w:val="none" w:sz="0" w:space="0" w:color="auto"/>
        <w:bottom w:val="none" w:sz="0" w:space="0" w:color="auto"/>
        <w:right w:val="none" w:sz="0" w:space="0" w:color="auto"/>
      </w:divBdr>
    </w:div>
    <w:div w:id="1879735874">
      <w:marLeft w:val="0"/>
      <w:marRight w:val="0"/>
      <w:marTop w:val="0"/>
      <w:marBottom w:val="0"/>
      <w:divBdr>
        <w:top w:val="none" w:sz="0" w:space="0" w:color="auto"/>
        <w:left w:val="none" w:sz="0" w:space="0" w:color="auto"/>
        <w:bottom w:val="none" w:sz="0" w:space="0" w:color="auto"/>
        <w:right w:val="none" w:sz="0" w:space="0" w:color="auto"/>
      </w:divBdr>
    </w:div>
    <w:div w:id="1879735875">
      <w:marLeft w:val="0"/>
      <w:marRight w:val="0"/>
      <w:marTop w:val="0"/>
      <w:marBottom w:val="0"/>
      <w:divBdr>
        <w:top w:val="none" w:sz="0" w:space="0" w:color="auto"/>
        <w:left w:val="none" w:sz="0" w:space="0" w:color="auto"/>
        <w:bottom w:val="none" w:sz="0" w:space="0" w:color="auto"/>
        <w:right w:val="none" w:sz="0" w:space="0" w:color="auto"/>
      </w:divBdr>
    </w:div>
    <w:div w:id="1879735876">
      <w:marLeft w:val="0"/>
      <w:marRight w:val="0"/>
      <w:marTop w:val="0"/>
      <w:marBottom w:val="0"/>
      <w:divBdr>
        <w:top w:val="none" w:sz="0" w:space="0" w:color="auto"/>
        <w:left w:val="none" w:sz="0" w:space="0" w:color="auto"/>
        <w:bottom w:val="none" w:sz="0" w:space="0" w:color="auto"/>
        <w:right w:val="none" w:sz="0" w:space="0" w:color="auto"/>
      </w:divBdr>
    </w:div>
    <w:div w:id="1879735877">
      <w:marLeft w:val="0"/>
      <w:marRight w:val="0"/>
      <w:marTop w:val="0"/>
      <w:marBottom w:val="0"/>
      <w:divBdr>
        <w:top w:val="none" w:sz="0" w:space="0" w:color="auto"/>
        <w:left w:val="none" w:sz="0" w:space="0" w:color="auto"/>
        <w:bottom w:val="none" w:sz="0" w:space="0" w:color="auto"/>
        <w:right w:val="none" w:sz="0" w:space="0" w:color="auto"/>
      </w:divBdr>
    </w:div>
    <w:div w:id="1879735878">
      <w:marLeft w:val="0"/>
      <w:marRight w:val="0"/>
      <w:marTop w:val="0"/>
      <w:marBottom w:val="0"/>
      <w:divBdr>
        <w:top w:val="none" w:sz="0" w:space="0" w:color="auto"/>
        <w:left w:val="none" w:sz="0" w:space="0" w:color="auto"/>
        <w:bottom w:val="none" w:sz="0" w:space="0" w:color="auto"/>
        <w:right w:val="none" w:sz="0" w:space="0" w:color="auto"/>
      </w:divBdr>
    </w:div>
    <w:div w:id="1879735879">
      <w:marLeft w:val="0"/>
      <w:marRight w:val="0"/>
      <w:marTop w:val="0"/>
      <w:marBottom w:val="0"/>
      <w:divBdr>
        <w:top w:val="none" w:sz="0" w:space="0" w:color="auto"/>
        <w:left w:val="none" w:sz="0" w:space="0" w:color="auto"/>
        <w:bottom w:val="none" w:sz="0" w:space="0" w:color="auto"/>
        <w:right w:val="none" w:sz="0" w:space="0" w:color="auto"/>
      </w:divBdr>
    </w:div>
    <w:div w:id="1879735880">
      <w:marLeft w:val="0"/>
      <w:marRight w:val="0"/>
      <w:marTop w:val="0"/>
      <w:marBottom w:val="0"/>
      <w:divBdr>
        <w:top w:val="none" w:sz="0" w:space="0" w:color="auto"/>
        <w:left w:val="none" w:sz="0" w:space="0" w:color="auto"/>
        <w:bottom w:val="none" w:sz="0" w:space="0" w:color="auto"/>
        <w:right w:val="none" w:sz="0" w:space="0" w:color="auto"/>
      </w:divBdr>
    </w:div>
    <w:div w:id="1879735881">
      <w:marLeft w:val="0"/>
      <w:marRight w:val="0"/>
      <w:marTop w:val="0"/>
      <w:marBottom w:val="0"/>
      <w:divBdr>
        <w:top w:val="none" w:sz="0" w:space="0" w:color="auto"/>
        <w:left w:val="none" w:sz="0" w:space="0" w:color="auto"/>
        <w:bottom w:val="none" w:sz="0" w:space="0" w:color="auto"/>
        <w:right w:val="none" w:sz="0" w:space="0" w:color="auto"/>
      </w:divBdr>
    </w:div>
    <w:div w:id="1879735882">
      <w:marLeft w:val="0"/>
      <w:marRight w:val="0"/>
      <w:marTop w:val="0"/>
      <w:marBottom w:val="0"/>
      <w:divBdr>
        <w:top w:val="none" w:sz="0" w:space="0" w:color="auto"/>
        <w:left w:val="none" w:sz="0" w:space="0" w:color="auto"/>
        <w:bottom w:val="none" w:sz="0" w:space="0" w:color="auto"/>
        <w:right w:val="none" w:sz="0" w:space="0" w:color="auto"/>
      </w:divBdr>
    </w:div>
    <w:div w:id="1879735883">
      <w:marLeft w:val="0"/>
      <w:marRight w:val="0"/>
      <w:marTop w:val="0"/>
      <w:marBottom w:val="0"/>
      <w:divBdr>
        <w:top w:val="none" w:sz="0" w:space="0" w:color="auto"/>
        <w:left w:val="none" w:sz="0" w:space="0" w:color="auto"/>
        <w:bottom w:val="none" w:sz="0" w:space="0" w:color="auto"/>
        <w:right w:val="none" w:sz="0" w:space="0" w:color="auto"/>
      </w:divBdr>
    </w:div>
    <w:div w:id="1879735884">
      <w:marLeft w:val="0"/>
      <w:marRight w:val="0"/>
      <w:marTop w:val="0"/>
      <w:marBottom w:val="0"/>
      <w:divBdr>
        <w:top w:val="none" w:sz="0" w:space="0" w:color="auto"/>
        <w:left w:val="none" w:sz="0" w:space="0" w:color="auto"/>
        <w:bottom w:val="none" w:sz="0" w:space="0" w:color="auto"/>
        <w:right w:val="none" w:sz="0" w:space="0" w:color="auto"/>
      </w:divBdr>
    </w:div>
    <w:div w:id="1879735885">
      <w:marLeft w:val="0"/>
      <w:marRight w:val="0"/>
      <w:marTop w:val="0"/>
      <w:marBottom w:val="0"/>
      <w:divBdr>
        <w:top w:val="none" w:sz="0" w:space="0" w:color="auto"/>
        <w:left w:val="none" w:sz="0" w:space="0" w:color="auto"/>
        <w:bottom w:val="none" w:sz="0" w:space="0" w:color="auto"/>
        <w:right w:val="none" w:sz="0" w:space="0" w:color="auto"/>
      </w:divBdr>
    </w:div>
    <w:div w:id="1879735886">
      <w:marLeft w:val="0"/>
      <w:marRight w:val="0"/>
      <w:marTop w:val="0"/>
      <w:marBottom w:val="0"/>
      <w:divBdr>
        <w:top w:val="none" w:sz="0" w:space="0" w:color="auto"/>
        <w:left w:val="none" w:sz="0" w:space="0" w:color="auto"/>
        <w:bottom w:val="none" w:sz="0" w:space="0" w:color="auto"/>
        <w:right w:val="none" w:sz="0" w:space="0" w:color="auto"/>
      </w:divBdr>
    </w:div>
    <w:div w:id="1879735887">
      <w:marLeft w:val="0"/>
      <w:marRight w:val="0"/>
      <w:marTop w:val="0"/>
      <w:marBottom w:val="0"/>
      <w:divBdr>
        <w:top w:val="none" w:sz="0" w:space="0" w:color="auto"/>
        <w:left w:val="none" w:sz="0" w:space="0" w:color="auto"/>
        <w:bottom w:val="none" w:sz="0" w:space="0" w:color="auto"/>
        <w:right w:val="none" w:sz="0" w:space="0" w:color="auto"/>
      </w:divBdr>
    </w:div>
    <w:div w:id="1879735888">
      <w:marLeft w:val="0"/>
      <w:marRight w:val="0"/>
      <w:marTop w:val="0"/>
      <w:marBottom w:val="0"/>
      <w:divBdr>
        <w:top w:val="none" w:sz="0" w:space="0" w:color="auto"/>
        <w:left w:val="none" w:sz="0" w:space="0" w:color="auto"/>
        <w:bottom w:val="none" w:sz="0" w:space="0" w:color="auto"/>
        <w:right w:val="none" w:sz="0" w:space="0" w:color="auto"/>
      </w:divBdr>
    </w:div>
    <w:div w:id="1879735889">
      <w:marLeft w:val="0"/>
      <w:marRight w:val="0"/>
      <w:marTop w:val="0"/>
      <w:marBottom w:val="0"/>
      <w:divBdr>
        <w:top w:val="none" w:sz="0" w:space="0" w:color="auto"/>
        <w:left w:val="none" w:sz="0" w:space="0" w:color="auto"/>
        <w:bottom w:val="none" w:sz="0" w:space="0" w:color="auto"/>
        <w:right w:val="none" w:sz="0" w:space="0" w:color="auto"/>
      </w:divBdr>
    </w:div>
    <w:div w:id="1879735890">
      <w:marLeft w:val="0"/>
      <w:marRight w:val="0"/>
      <w:marTop w:val="0"/>
      <w:marBottom w:val="0"/>
      <w:divBdr>
        <w:top w:val="none" w:sz="0" w:space="0" w:color="auto"/>
        <w:left w:val="none" w:sz="0" w:space="0" w:color="auto"/>
        <w:bottom w:val="none" w:sz="0" w:space="0" w:color="auto"/>
        <w:right w:val="none" w:sz="0" w:space="0" w:color="auto"/>
      </w:divBdr>
    </w:div>
    <w:div w:id="1879735891">
      <w:marLeft w:val="0"/>
      <w:marRight w:val="0"/>
      <w:marTop w:val="0"/>
      <w:marBottom w:val="0"/>
      <w:divBdr>
        <w:top w:val="none" w:sz="0" w:space="0" w:color="auto"/>
        <w:left w:val="none" w:sz="0" w:space="0" w:color="auto"/>
        <w:bottom w:val="none" w:sz="0" w:space="0" w:color="auto"/>
        <w:right w:val="none" w:sz="0" w:space="0" w:color="auto"/>
      </w:divBdr>
    </w:div>
    <w:div w:id="1879735892">
      <w:marLeft w:val="0"/>
      <w:marRight w:val="0"/>
      <w:marTop w:val="0"/>
      <w:marBottom w:val="0"/>
      <w:divBdr>
        <w:top w:val="none" w:sz="0" w:space="0" w:color="auto"/>
        <w:left w:val="none" w:sz="0" w:space="0" w:color="auto"/>
        <w:bottom w:val="none" w:sz="0" w:space="0" w:color="auto"/>
        <w:right w:val="none" w:sz="0" w:space="0" w:color="auto"/>
      </w:divBdr>
    </w:div>
    <w:div w:id="1879735893">
      <w:marLeft w:val="0"/>
      <w:marRight w:val="0"/>
      <w:marTop w:val="0"/>
      <w:marBottom w:val="0"/>
      <w:divBdr>
        <w:top w:val="none" w:sz="0" w:space="0" w:color="auto"/>
        <w:left w:val="none" w:sz="0" w:space="0" w:color="auto"/>
        <w:bottom w:val="none" w:sz="0" w:space="0" w:color="auto"/>
        <w:right w:val="none" w:sz="0" w:space="0" w:color="auto"/>
      </w:divBdr>
    </w:div>
    <w:div w:id="1879735894">
      <w:marLeft w:val="0"/>
      <w:marRight w:val="0"/>
      <w:marTop w:val="0"/>
      <w:marBottom w:val="0"/>
      <w:divBdr>
        <w:top w:val="none" w:sz="0" w:space="0" w:color="auto"/>
        <w:left w:val="none" w:sz="0" w:space="0" w:color="auto"/>
        <w:bottom w:val="none" w:sz="0" w:space="0" w:color="auto"/>
        <w:right w:val="none" w:sz="0" w:space="0" w:color="auto"/>
      </w:divBdr>
    </w:div>
    <w:div w:id="1879735895">
      <w:marLeft w:val="0"/>
      <w:marRight w:val="0"/>
      <w:marTop w:val="0"/>
      <w:marBottom w:val="0"/>
      <w:divBdr>
        <w:top w:val="none" w:sz="0" w:space="0" w:color="auto"/>
        <w:left w:val="none" w:sz="0" w:space="0" w:color="auto"/>
        <w:bottom w:val="none" w:sz="0" w:space="0" w:color="auto"/>
        <w:right w:val="none" w:sz="0" w:space="0" w:color="auto"/>
      </w:divBdr>
    </w:div>
    <w:div w:id="1879735896">
      <w:marLeft w:val="0"/>
      <w:marRight w:val="0"/>
      <w:marTop w:val="0"/>
      <w:marBottom w:val="0"/>
      <w:divBdr>
        <w:top w:val="none" w:sz="0" w:space="0" w:color="auto"/>
        <w:left w:val="none" w:sz="0" w:space="0" w:color="auto"/>
        <w:bottom w:val="none" w:sz="0" w:space="0" w:color="auto"/>
        <w:right w:val="none" w:sz="0" w:space="0" w:color="auto"/>
      </w:divBdr>
    </w:div>
    <w:div w:id="1879735897">
      <w:marLeft w:val="0"/>
      <w:marRight w:val="0"/>
      <w:marTop w:val="0"/>
      <w:marBottom w:val="0"/>
      <w:divBdr>
        <w:top w:val="none" w:sz="0" w:space="0" w:color="auto"/>
        <w:left w:val="none" w:sz="0" w:space="0" w:color="auto"/>
        <w:bottom w:val="none" w:sz="0" w:space="0" w:color="auto"/>
        <w:right w:val="none" w:sz="0" w:space="0" w:color="auto"/>
      </w:divBdr>
    </w:div>
    <w:div w:id="1879735898">
      <w:marLeft w:val="0"/>
      <w:marRight w:val="0"/>
      <w:marTop w:val="0"/>
      <w:marBottom w:val="0"/>
      <w:divBdr>
        <w:top w:val="none" w:sz="0" w:space="0" w:color="auto"/>
        <w:left w:val="none" w:sz="0" w:space="0" w:color="auto"/>
        <w:bottom w:val="none" w:sz="0" w:space="0" w:color="auto"/>
        <w:right w:val="none" w:sz="0" w:space="0" w:color="auto"/>
      </w:divBdr>
    </w:div>
    <w:div w:id="1879735899">
      <w:marLeft w:val="0"/>
      <w:marRight w:val="0"/>
      <w:marTop w:val="0"/>
      <w:marBottom w:val="0"/>
      <w:divBdr>
        <w:top w:val="none" w:sz="0" w:space="0" w:color="auto"/>
        <w:left w:val="none" w:sz="0" w:space="0" w:color="auto"/>
        <w:bottom w:val="none" w:sz="0" w:space="0" w:color="auto"/>
        <w:right w:val="none" w:sz="0" w:space="0" w:color="auto"/>
      </w:divBdr>
    </w:div>
    <w:div w:id="1879735900">
      <w:marLeft w:val="0"/>
      <w:marRight w:val="0"/>
      <w:marTop w:val="0"/>
      <w:marBottom w:val="0"/>
      <w:divBdr>
        <w:top w:val="none" w:sz="0" w:space="0" w:color="auto"/>
        <w:left w:val="none" w:sz="0" w:space="0" w:color="auto"/>
        <w:bottom w:val="none" w:sz="0" w:space="0" w:color="auto"/>
        <w:right w:val="none" w:sz="0" w:space="0" w:color="auto"/>
      </w:divBdr>
    </w:div>
    <w:div w:id="1879735901">
      <w:marLeft w:val="0"/>
      <w:marRight w:val="0"/>
      <w:marTop w:val="0"/>
      <w:marBottom w:val="0"/>
      <w:divBdr>
        <w:top w:val="none" w:sz="0" w:space="0" w:color="auto"/>
        <w:left w:val="none" w:sz="0" w:space="0" w:color="auto"/>
        <w:bottom w:val="none" w:sz="0" w:space="0" w:color="auto"/>
        <w:right w:val="none" w:sz="0" w:space="0" w:color="auto"/>
      </w:divBdr>
    </w:div>
    <w:div w:id="1879735902">
      <w:marLeft w:val="0"/>
      <w:marRight w:val="0"/>
      <w:marTop w:val="0"/>
      <w:marBottom w:val="0"/>
      <w:divBdr>
        <w:top w:val="none" w:sz="0" w:space="0" w:color="auto"/>
        <w:left w:val="none" w:sz="0" w:space="0" w:color="auto"/>
        <w:bottom w:val="none" w:sz="0" w:space="0" w:color="auto"/>
        <w:right w:val="none" w:sz="0" w:space="0" w:color="auto"/>
      </w:divBdr>
    </w:div>
    <w:div w:id="1879735903">
      <w:marLeft w:val="0"/>
      <w:marRight w:val="0"/>
      <w:marTop w:val="0"/>
      <w:marBottom w:val="0"/>
      <w:divBdr>
        <w:top w:val="none" w:sz="0" w:space="0" w:color="auto"/>
        <w:left w:val="none" w:sz="0" w:space="0" w:color="auto"/>
        <w:bottom w:val="none" w:sz="0" w:space="0" w:color="auto"/>
        <w:right w:val="none" w:sz="0" w:space="0" w:color="auto"/>
      </w:divBdr>
    </w:div>
    <w:div w:id="1879735904">
      <w:marLeft w:val="0"/>
      <w:marRight w:val="0"/>
      <w:marTop w:val="0"/>
      <w:marBottom w:val="0"/>
      <w:divBdr>
        <w:top w:val="none" w:sz="0" w:space="0" w:color="auto"/>
        <w:left w:val="none" w:sz="0" w:space="0" w:color="auto"/>
        <w:bottom w:val="none" w:sz="0" w:space="0" w:color="auto"/>
        <w:right w:val="none" w:sz="0" w:space="0" w:color="auto"/>
      </w:divBdr>
    </w:div>
    <w:div w:id="1879735905">
      <w:marLeft w:val="0"/>
      <w:marRight w:val="0"/>
      <w:marTop w:val="0"/>
      <w:marBottom w:val="0"/>
      <w:divBdr>
        <w:top w:val="none" w:sz="0" w:space="0" w:color="auto"/>
        <w:left w:val="none" w:sz="0" w:space="0" w:color="auto"/>
        <w:bottom w:val="none" w:sz="0" w:space="0" w:color="auto"/>
        <w:right w:val="none" w:sz="0" w:space="0" w:color="auto"/>
      </w:divBdr>
    </w:div>
    <w:div w:id="1879735906">
      <w:marLeft w:val="0"/>
      <w:marRight w:val="0"/>
      <w:marTop w:val="0"/>
      <w:marBottom w:val="0"/>
      <w:divBdr>
        <w:top w:val="none" w:sz="0" w:space="0" w:color="auto"/>
        <w:left w:val="none" w:sz="0" w:space="0" w:color="auto"/>
        <w:bottom w:val="none" w:sz="0" w:space="0" w:color="auto"/>
        <w:right w:val="none" w:sz="0" w:space="0" w:color="auto"/>
      </w:divBdr>
    </w:div>
    <w:div w:id="1879735907">
      <w:marLeft w:val="0"/>
      <w:marRight w:val="0"/>
      <w:marTop w:val="0"/>
      <w:marBottom w:val="0"/>
      <w:divBdr>
        <w:top w:val="none" w:sz="0" w:space="0" w:color="auto"/>
        <w:left w:val="none" w:sz="0" w:space="0" w:color="auto"/>
        <w:bottom w:val="none" w:sz="0" w:space="0" w:color="auto"/>
        <w:right w:val="none" w:sz="0" w:space="0" w:color="auto"/>
      </w:divBdr>
    </w:div>
    <w:div w:id="1879735908">
      <w:marLeft w:val="0"/>
      <w:marRight w:val="0"/>
      <w:marTop w:val="0"/>
      <w:marBottom w:val="0"/>
      <w:divBdr>
        <w:top w:val="none" w:sz="0" w:space="0" w:color="auto"/>
        <w:left w:val="none" w:sz="0" w:space="0" w:color="auto"/>
        <w:bottom w:val="none" w:sz="0" w:space="0" w:color="auto"/>
        <w:right w:val="none" w:sz="0" w:space="0" w:color="auto"/>
      </w:divBdr>
    </w:div>
    <w:div w:id="1879735909">
      <w:marLeft w:val="0"/>
      <w:marRight w:val="0"/>
      <w:marTop w:val="0"/>
      <w:marBottom w:val="0"/>
      <w:divBdr>
        <w:top w:val="none" w:sz="0" w:space="0" w:color="auto"/>
        <w:left w:val="none" w:sz="0" w:space="0" w:color="auto"/>
        <w:bottom w:val="none" w:sz="0" w:space="0" w:color="auto"/>
        <w:right w:val="none" w:sz="0" w:space="0" w:color="auto"/>
      </w:divBdr>
    </w:div>
    <w:div w:id="1879735910">
      <w:marLeft w:val="0"/>
      <w:marRight w:val="0"/>
      <w:marTop w:val="0"/>
      <w:marBottom w:val="0"/>
      <w:divBdr>
        <w:top w:val="none" w:sz="0" w:space="0" w:color="auto"/>
        <w:left w:val="none" w:sz="0" w:space="0" w:color="auto"/>
        <w:bottom w:val="none" w:sz="0" w:space="0" w:color="auto"/>
        <w:right w:val="none" w:sz="0" w:space="0" w:color="auto"/>
      </w:divBdr>
    </w:div>
    <w:div w:id="1879735911">
      <w:marLeft w:val="0"/>
      <w:marRight w:val="0"/>
      <w:marTop w:val="0"/>
      <w:marBottom w:val="0"/>
      <w:divBdr>
        <w:top w:val="none" w:sz="0" w:space="0" w:color="auto"/>
        <w:left w:val="none" w:sz="0" w:space="0" w:color="auto"/>
        <w:bottom w:val="none" w:sz="0" w:space="0" w:color="auto"/>
        <w:right w:val="none" w:sz="0" w:space="0" w:color="auto"/>
      </w:divBdr>
    </w:div>
    <w:div w:id="1879735912">
      <w:marLeft w:val="0"/>
      <w:marRight w:val="0"/>
      <w:marTop w:val="0"/>
      <w:marBottom w:val="0"/>
      <w:divBdr>
        <w:top w:val="none" w:sz="0" w:space="0" w:color="auto"/>
        <w:left w:val="none" w:sz="0" w:space="0" w:color="auto"/>
        <w:bottom w:val="none" w:sz="0" w:space="0" w:color="auto"/>
        <w:right w:val="none" w:sz="0" w:space="0" w:color="auto"/>
      </w:divBdr>
    </w:div>
    <w:div w:id="1879735913">
      <w:marLeft w:val="0"/>
      <w:marRight w:val="0"/>
      <w:marTop w:val="0"/>
      <w:marBottom w:val="0"/>
      <w:divBdr>
        <w:top w:val="none" w:sz="0" w:space="0" w:color="auto"/>
        <w:left w:val="none" w:sz="0" w:space="0" w:color="auto"/>
        <w:bottom w:val="none" w:sz="0" w:space="0" w:color="auto"/>
        <w:right w:val="none" w:sz="0" w:space="0" w:color="auto"/>
      </w:divBdr>
    </w:div>
    <w:div w:id="1879735914">
      <w:marLeft w:val="0"/>
      <w:marRight w:val="0"/>
      <w:marTop w:val="0"/>
      <w:marBottom w:val="0"/>
      <w:divBdr>
        <w:top w:val="none" w:sz="0" w:space="0" w:color="auto"/>
        <w:left w:val="none" w:sz="0" w:space="0" w:color="auto"/>
        <w:bottom w:val="none" w:sz="0" w:space="0" w:color="auto"/>
        <w:right w:val="none" w:sz="0" w:space="0" w:color="auto"/>
      </w:divBdr>
    </w:div>
    <w:div w:id="1879735915">
      <w:marLeft w:val="0"/>
      <w:marRight w:val="0"/>
      <w:marTop w:val="0"/>
      <w:marBottom w:val="0"/>
      <w:divBdr>
        <w:top w:val="none" w:sz="0" w:space="0" w:color="auto"/>
        <w:left w:val="none" w:sz="0" w:space="0" w:color="auto"/>
        <w:bottom w:val="none" w:sz="0" w:space="0" w:color="auto"/>
        <w:right w:val="none" w:sz="0" w:space="0" w:color="auto"/>
      </w:divBdr>
    </w:div>
    <w:div w:id="1879735916">
      <w:marLeft w:val="0"/>
      <w:marRight w:val="0"/>
      <w:marTop w:val="0"/>
      <w:marBottom w:val="0"/>
      <w:divBdr>
        <w:top w:val="none" w:sz="0" w:space="0" w:color="auto"/>
        <w:left w:val="none" w:sz="0" w:space="0" w:color="auto"/>
        <w:bottom w:val="none" w:sz="0" w:space="0" w:color="auto"/>
        <w:right w:val="none" w:sz="0" w:space="0" w:color="auto"/>
      </w:divBdr>
    </w:div>
    <w:div w:id="1879735917">
      <w:marLeft w:val="0"/>
      <w:marRight w:val="0"/>
      <w:marTop w:val="0"/>
      <w:marBottom w:val="0"/>
      <w:divBdr>
        <w:top w:val="none" w:sz="0" w:space="0" w:color="auto"/>
        <w:left w:val="none" w:sz="0" w:space="0" w:color="auto"/>
        <w:bottom w:val="none" w:sz="0" w:space="0" w:color="auto"/>
        <w:right w:val="none" w:sz="0" w:space="0" w:color="auto"/>
      </w:divBdr>
    </w:div>
    <w:div w:id="1879735918">
      <w:marLeft w:val="0"/>
      <w:marRight w:val="0"/>
      <w:marTop w:val="0"/>
      <w:marBottom w:val="0"/>
      <w:divBdr>
        <w:top w:val="none" w:sz="0" w:space="0" w:color="auto"/>
        <w:left w:val="none" w:sz="0" w:space="0" w:color="auto"/>
        <w:bottom w:val="none" w:sz="0" w:space="0" w:color="auto"/>
        <w:right w:val="none" w:sz="0" w:space="0" w:color="auto"/>
      </w:divBdr>
    </w:div>
    <w:div w:id="1879735919">
      <w:marLeft w:val="0"/>
      <w:marRight w:val="0"/>
      <w:marTop w:val="0"/>
      <w:marBottom w:val="0"/>
      <w:divBdr>
        <w:top w:val="none" w:sz="0" w:space="0" w:color="auto"/>
        <w:left w:val="none" w:sz="0" w:space="0" w:color="auto"/>
        <w:bottom w:val="none" w:sz="0" w:space="0" w:color="auto"/>
        <w:right w:val="none" w:sz="0" w:space="0" w:color="auto"/>
      </w:divBdr>
    </w:div>
    <w:div w:id="1879735920">
      <w:marLeft w:val="0"/>
      <w:marRight w:val="0"/>
      <w:marTop w:val="0"/>
      <w:marBottom w:val="0"/>
      <w:divBdr>
        <w:top w:val="none" w:sz="0" w:space="0" w:color="auto"/>
        <w:left w:val="none" w:sz="0" w:space="0" w:color="auto"/>
        <w:bottom w:val="none" w:sz="0" w:space="0" w:color="auto"/>
        <w:right w:val="none" w:sz="0" w:space="0" w:color="auto"/>
      </w:divBdr>
    </w:div>
    <w:div w:id="1879735921">
      <w:marLeft w:val="0"/>
      <w:marRight w:val="0"/>
      <w:marTop w:val="0"/>
      <w:marBottom w:val="0"/>
      <w:divBdr>
        <w:top w:val="none" w:sz="0" w:space="0" w:color="auto"/>
        <w:left w:val="none" w:sz="0" w:space="0" w:color="auto"/>
        <w:bottom w:val="none" w:sz="0" w:space="0" w:color="auto"/>
        <w:right w:val="none" w:sz="0" w:space="0" w:color="auto"/>
      </w:divBdr>
    </w:div>
    <w:div w:id="1879735922">
      <w:marLeft w:val="0"/>
      <w:marRight w:val="0"/>
      <w:marTop w:val="0"/>
      <w:marBottom w:val="0"/>
      <w:divBdr>
        <w:top w:val="none" w:sz="0" w:space="0" w:color="auto"/>
        <w:left w:val="none" w:sz="0" w:space="0" w:color="auto"/>
        <w:bottom w:val="none" w:sz="0" w:space="0" w:color="auto"/>
        <w:right w:val="none" w:sz="0" w:space="0" w:color="auto"/>
      </w:divBdr>
    </w:div>
    <w:div w:id="1879735923">
      <w:marLeft w:val="0"/>
      <w:marRight w:val="0"/>
      <w:marTop w:val="0"/>
      <w:marBottom w:val="0"/>
      <w:divBdr>
        <w:top w:val="none" w:sz="0" w:space="0" w:color="auto"/>
        <w:left w:val="none" w:sz="0" w:space="0" w:color="auto"/>
        <w:bottom w:val="none" w:sz="0" w:space="0" w:color="auto"/>
        <w:right w:val="none" w:sz="0" w:space="0" w:color="auto"/>
      </w:divBdr>
    </w:div>
    <w:div w:id="1879735924">
      <w:marLeft w:val="0"/>
      <w:marRight w:val="0"/>
      <w:marTop w:val="0"/>
      <w:marBottom w:val="0"/>
      <w:divBdr>
        <w:top w:val="none" w:sz="0" w:space="0" w:color="auto"/>
        <w:left w:val="none" w:sz="0" w:space="0" w:color="auto"/>
        <w:bottom w:val="none" w:sz="0" w:space="0" w:color="auto"/>
        <w:right w:val="none" w:sz="0" w:space="0" w:color="auto"/>
      </w:divBdr>
    </w:div>
    <w:div w:id="1879735925">
      <w:marLeft w:val="0"/>
      <w:marRight w:val="0"/>
      <w:marTop w:val="0"/>
      <w:marBottom w:val="0"/>
      <w:divBdr>
        <w:top w:val="none" w:sz="0" w:space="0" w:color="auto"/>
        <w:left w:val="none" w:sz="0" w:space="0" w:color="auto"/>
        <w:bottom w:val="none" w:sz="0" w:space="0" w:color="auto"/>
        <w:right w:val="none" w:sz="0" w:space="0" w:color="auto"/>
      </w:divBdr>
    </w:div>
    <w:div w:id="1879735926">
      <w:marLeft w:val="0"/>
      <w:marRight w:val="0"/>
      <w:marTop w:val="0"/>
      <w:marBottom w:val="0"/>
      <w:divBdr>
        <w:top w:val="none" w:sz="0" w:space="0" w:color="auto"/>
        <w:left w:val="none" w:sz="0" w:space="0" w:color="auto"/>
        <w:bottom w:val="none" w:sz="0" w:space="0" w:color="auto"/>
        <w:right w:val="none" w:sz="0" w:space="0" w:color="auto"/>
      </w:divBdr>
    </w:div>
    <w:div w:id="1879735927">
      <w:marLeft w:val="0"/>
      <w:marRight w:val="0"/>
      <w:marTop w:val="0"/>
      <w:marBottom w:val="0"/>
      <w:divBdr>
        <w:top w:val="none" w:sz="0" w:space="0" w:color="auto"/>
        <w:left w:val="none" w:sz="0" w:space="0" w:color="auto"/>
        <w:bottom w:val="none" w:sz="0" w:space="0" w:color="auto"/>
        <w:right w:val="none" w:sz="0" w:space="0" w:color="auto"/>
      </w:divBdr>
    </w:div>
    <w:div w:id="1879735928">
      <w:marLeft w:val="0"/>
      <w:marRight w:val="0"/>
      <w:marTop w:val="0"/>
      <w:marBottom w:val="0"/>
      <w:divBdr>
        <w:top w:val="none" w:sz="0" w:space="0" w:color="auto"/>
        <w:left w:val="none" w:sz="0" w:space="0" w:color="auto"/>
        <w:bottom w:val="none" w:sz="0" w:space="0" w:color="auto"/>
        <w:right w:val="none" w:sz="0" w:space="0" w:color="auto"/>
      </w:divBdr>
    </w:div>
    <w:div w:id="1879735929">
      <w:marLeft w:val="0"/>
      <w:marRight w:val="0"/>
      <w:marTop w:val="0"/>
      <w:marBottom w:val="0"/>
      <w:divBdr>
        <w:top w:val="none" w:sz="0" w:space="0" w:color="auto"/>
        <w:left w:val="none" w:sz="0" w:space="0" w:color="auto"/>
        <w:bottom w:val="none" w:sz="0" w:space="0" w:color="auto"/>
        <w:right w:val="none" w:sz="0" w:space="0" w:color="auto"/>
      </w:divBdr>
    </w:div>
    <w:div w:id="1879735930">
      <w:marLeft w:val="0"/>
      <w:marRight w:val="0"/>
      <w:marTop w:val="0"/>
      <w:marBottom w:val="0"/>
      <w:divBdr>
        <w:top w:val="none" w:sz="0" w:space="0" w:color="auto"/>
        <w:left w:val="none" w:sz="0" w:space="0" w:color="auto"/>
        <w:bottom w:val="none" w:sz="0" w:space="0" w:color="auto"/>
        <w:right w:val="none" w:sz="0" w:space="0" w:color="auto"/>
      </w:divBdr>
    </w:div>
    <w:div w:id="1879735931">
      <w:marLeft w:val="0"/>
      <w:marRight w:val="0"/>
      <w:marTop w:val="0"/>
      <w:marBottom w:val="0"/>
      <w:divBdr>
        <w:top w:val="none" w:sz="0" w:space="0" w:color="auto"/>
        <w:left w:val="none" w:sz="0" w:space="0" w:color="auto"/>
        <w:bottom w:val="none" w:sz="0" w:space="0" w:color="auto"/>
        <w:right w:val="none" w:sz="0" w:space="0" w:color="auto"/>
      </w:divBdr>
    </w:div>
    <w:div w:id="1879735932">
      <w:marLeft w:val="0"/>
      <w:marRight w:val="0"/>
      <w:marTop w:val="0"/>
      <w:marBottom w:val="0"/>
      <w:divBdr>
        <w:top w:val="none" w:sz="0" w:space="0" w:color="auto"/>
        <w:left w:val="none" w:sz="0" w:space="0" w:color="auto"/>
        <w:bottom w:val="none" w:sz="0" w:space="0" w:color="auto"/>
        <w:right w:val="none" w:sz="0" w:space="0" w:color="auto"/>
      </w:divBdr>
    </w:div>
    <w:div w:id="1879735933">
      <w:marLeft w:val="0"/>
      <w:marRight w:val="0"/>
      <w:marTop w:val="0"/>
      <w:marBottom w:val="0"/>
      <w:divBdr>
        <w:top w:val="none" w:sz="0" w:space="0" w:color="auto"/>
        <w:left w:val="none" w:sz="0" w:space="0" w:color="auto"/>
        <w:bottom w:val="none" w:sz="0" w:space="0" w:color="auto"/>
        <w:right w:val="none" w:sz="0" w:space="0" w:color="auto"/>
      </w:divBdr>
    </w:div>
    <w:div w:id="1879735934">
      <w:marLeft w:val="0"/>
      <w:marRight w:val="0"/>
      <w:marTop w:val="0"/>
      <w:marBottom w:val="0"/>
      <w:divBdr>
        <w:top w:val="none" w:sz="0" w:space="0" w:color="auto"/>
        <w:left w:val="none" w:sz="0" w:space="0" w:color="auto"/>
        <w:bottom w:val="none" w:sz="0" w:space="0" w:color="auto"/>
        <w:right w:val="none" w:sz="0" w:space="0" w:color="auto"/>
      </w:divBdr>
    </w:div>
    <w:div w:id="1879735935">
      <w:marLeft w:val="0"/>
      <w:marRight w:val="0"/>
      <w:marTop w:val="0"/>
      <w:marBottom w:val="0"/>
      <w:divBdr>
        <w:top w:val="none" w:sz="0" w:space="0" w:color="auto"/>
        <w:left w:val="none" w:sz="0" w:space="0" w:color="auto"/>
        <w:bottom w:val="none" w:sz="0" w:space="0" w:color="auto"/>
        <w:right w:val="none" w:sz="0" w:space="0" w:color="auto"/>
      </w:divBdr>
    </w:div>
    <w:div w:id="1879735936">
      <w:marLeft w:val="0"/>
      <w:marRight w:val="0"/>
      <w:marTop w:val="0"/>
      <w:marBottom w:val="0"/>
      <w:divBdr>
        <w:top w:val="none" w:sz="0" w:space="0" w:color="auto"/>
        <w:left w:val="none" w:sz="0" w:space="0" w:color="auto"/>
        <w:bottom w:val="none" w:sz="0" w:space="0" w:color="auto"/>
        <w:right w:val="none" w:sz="0" w:space="0" w:color="auto"/>
      </w:divBdr>
    </w:div>
    <w:div w:id="1879735937">
      <w:marLeft w:val="0"/>
      <w:marRight w:val="0"/>
      <w:marTop w:val="0"/>
      <w:marBottom w:val="0"/>
      <w:divBdr>
        <w:top w:val="none" w:sz="0" w:space="0" w:color="auto"/>
        <w:left w:val="none" w:sz="0" w:space="0" w:color="auto"/>
        <w:bottom w:val="none" w:sz="0" w:space="0" w:color="auto"/>
        <w:right w:val="none" w:sz="0" w:space="0" w:color="auto"/>
      </w:divBdr>
    </w:div>
    <w:div w:id="1879735938">
      <w:marLeft w:val="0"/>
      <w:marRight w:val="0"/>
      <w:marTop w:val="0"/>
      <w:marBottom w:val="0"/>
      <w:divBdr>
        <w:top w:val="none" w:sz="0" w:space="0" w:color="auto"/>
        <w:left w:val="none" w:sz="0" w:space="0" w:color="auto"/>
        <w:bottom w:val="none" w:sz="0" w:space="0" w:color="auto"/>
        <w:right w:val="none" w:sz="0" w:space="0" w:color="auto"/>
      </w:divBdr>
    </w:div>
    <w:div w:id="1879735939">
      <w:marLeft w:val="0"/>
      <w:marRight w:val="0"/>
      <w:marTop w:val="0"/>
      <w:marBottom w:val="0"/>
      <w:divBdr>
        <w:top w:val="none" w:sz="0" w:space="0" w:color="auto"/>
        <w:left w:val="none" w:sz="0" w:space="0" w:color="auto"/>
        <w:bottom w:val="none" w:sz="0" w:space="0" w:color="auto"/>
        <w:right w:val="none" w:sz="0" w:space="0" w:color="auto"/>
      </w:divBdr>
    </w:div>
    <w:div w:id="1879735940">
      <w:marLeft w:val="0"/>
      <w:marRight w:val="0"/>
      <w:marTop w:val="0"/>
      <w:marBottom w:val="0"/>
      <w:divBdr>
        <w:top w:val="none" w:sz="0" w:space="0" w:color="auto"/>
        <w:left w:val="none" w:sz="0" w:space="0" w:color="auto"/>
        <w:bottom w:val="none" w:sz="0" w:space="0" w:color="auto"/>
        <w:right w:val="none" w:sz="0" w:space="0" w:color="auto"/>
      </w:divBdr>
    </w:div>
    <w:div w:id="1879735941">
      <w:marLeft w:val="0"/>
      <w:marRight w:val="0"/>
      <w:marTop w:val="0"/>
      <w:marBottom w:val="0"/>
      <w:divBdr>
        <w:top w:val="none" w:sz="0" w:space="0" w:color="auto"/>
        <w:left w:val="none" w:sz="0" w:space="0" w:color="auto"/>
        <w:bottom w:val="none" w:sz="0" w:space="0" w:color="auto"/>
        <w:right w:val="none" w:sz="0" w:space="0" w:color="auto"/>
      </w:divBdr>
    </w:div>
    <w:div w:id="1879735942">
      <w:marLeft w:val="0"/>
      <w:marRight w:val="0"/>
      <w:marTop w:val="0"/>
      <w:marBottom w:val="0"/>
      <w:divBdr>
        <w:top w:val="none" w:sz="0" w:space="0" w:color="auto"/>
        <w:left w:val="none" w:sz="0" w:space="0" w:color="auto"/>
        <w:bottom w:val="none" w:sz="0" w:space="0" w:color="auto"/>
        <w:right w:val="none" w:sz="0" w:space="0" w:color="auto"/>
      </w:divBdr>
    </w:div>
    <w:div w:id="1879735943">
      <w:marLeft w:val="0"/>
      <w:marRight w:val="0"/>
      <w:marTop w:val="0"/>
      <w:marBottom w:val="0"/>
      <w:divBdr>
        <w:top w:val="none" w:sz="0" w:space="0" w:color="auto"/>
        <w:left w:val="none" w:sz="0" w:space="0" w:color="auto"/>
        <w:bottom w:val="none" w:sz="0" w:space="0" w:color="auto"/>
        <w:right w:val="none" w:sz="0" w:space="0" w:color="auto"/>
      </w:divBdr>
    </w:div>
    <w:div w:id="1879735944">
      <w:marLeft w:val="0"/>
      <w:marRight w:val="0"/>
      <w:marTop w:val="0"/>
      <w:marBottom w:val="0"/>
      <w:divBdr>
        <w:top w:val="none" w:sz="0" w:space="0" w:color="auto"/>
        <w:left w:val="none" w:sz="0" w:space="0" w:color="auto"/>
        <w:bottom w:val="none" w:sz="0" w:space="0" w:color="auto"/>
        <w:right w:val="none" w:sz="0" w:space="0" w:color="auto"/>
      </w:divBdr>
    </w:div>
    <w:div w:id="1879735945">
      <w:marLeft w:val="0"/>
      <w:marRight w:val="0"/>
      <w:marTop w:val="0"/>
      <w:marBottom w:val="0"/>
      <w:divBdr>
        <w:top w:val="none" w:sz="0" w:space="0" w:color="auto"/>
        <w:left w:val="none" w:sz="0" w:space="0" w:color="auto"/>
        <w:bottom w:val="none" w:sz="0" w:space="0" w:color="auto"/>
        <w:right w:val="none" w:sz="0" w:space="0" w:color="auto"/>
      </w:divBdr>
    </w:div>
    <w:div w:id="1879735946">
      <w:marLeft w:val="0"/>
      <w:marRight w:val="0"/>
      <w:marTop w:val="0"/>
      <w:marBottom w:val="0"/>
      <w:divBdr>
        <w:top w:val="none" w:sz="0" w:space="0" w:color="auto"/>
        <w:left w:val="none" w:sz="0" w:space="0" w:color="auto"/>
        <w:bottom w:val="none" w:sz="0" w:space="0" w:color="auto"/>
        <w:right w:val="none" w:sz="0" w:space="0" w:color="auto"/>
      </w:divBdr>
    </w:div>
    <w:div w:id="1879735947">
      <w:marLeft w:val="0"/>
      <w:marRight w:val="0"/>
      <w:marTop w:val="0"/>
      <w:marBottom w:val="0"/>
      <w:divBdr>
        <w:top w:val="none" w:sz="0" w:space="0" w:color="auto"/>
        <w:left w:val="none" w:sz="0" w:space="0" w:color="auto"/>
        <w:bottom w:val="none" w:sz="0" w:space="0" w:color="auto"/>
        <w:right w:val="none" w:sz="0" w:space="0" w:color="auto"/>
      </w:divBdr>
    </w:div>
    <w:div w:id="1879735948">
      <w:marLeft w:val="0"/>
      <w:marRight w:val="0"/>
      <w:marTop w:val="0"/>
      <w:marBottom w:val="0"/>
      <w:divBdr>
        <w:top w:val="none" w:sz="0" w:space="0" w:color="auto"/>
        <w:left w:val="none" w:sz="0" w:space="0" w:color="auto"/>
        <w:bottom w:val="none" w:sz="0" w:space="0" w:color="auto"/>
        <w:right w:val="none" w:sz="0" w:space="0" w:color="auto"/>
      </w:divBdr>
    </w:div>
    <w:div w:id="1879735949">
      <w:marLeft w:val="0"/>
      <w:marRight w:val="0"/>
      <w:marTop w:val="0"/>
      <w:marBottom w:val="0"/>
      <w:divBdr>
        <w:top w:val="none" w:sz="0" w:space="0" w:color="auto"/>
        <w:left w:val="none" w:sz="0" w:space="0" w:color="auto"/>
        <w:bottom w:val="none" w:sz="0" w:space="0" w:color="auto"/>
        <w:right w:val="none" w:sz="0" w:space="0" w:color="auto"/>
      </w:divBdr>
    </w:div>
    <w:div w:id="1879735950">
      <w:marLeft w:val="0"/>
      <w:marRight w:val="0"/>
      <w:marTop w:val="0"/>
      <w:marBottom w:val="0"/>
      <w:divBdr>
        <w:top w:val="none" w:sz="0" w:space="0" w:color="auto"/>
        <w:left w:val="none" w:sz="0" w:space="0" w:color="auto"/>
        <w:bottom w:val="none" w:sz="0" w:space="0" w:color="auto"/>
        <w:right w:val="none" w:sz="0" w:space="0" w:color="auto"/>
      </w:divBdr>
    </w:div>
    <w:div w:id="1879735951">
      <w:marLeft w:val="0"/>
      <w:marRight w:val="0"/>
      <w:marTop w:val="0"/>
      <w:marBottom w:val="0"/>
      <w:divBdr>
        <w:top w:val="none" w:sz="0" w:space="0" w:color="auto"/>
        <w:left w:val="none" w:sz="0" w:space="0" w:color="auto"/>
        <w:bottom w:val="none" w:sz="0" w:space="0" w:color="auto"/>
        <w:right w:val="none" w:sz="0" w:space="0" w:color="auto"/>
      </w:divBdr>
    </w:div>
    <w:div w:id="1879735952">
      <w:marLeft w:val="0"/>
      <w:marRight w:val="0"/>
      <w:marTop w:val="0"/>
      <w:marBottom w:val="0"/>
      <w:divBdr>
        <w:top w:val="none" w:sz="0" w:space="0" w:color="auto"/>
        <w:left w:val="none" w:sz="0" w:space="0" w:color="auto"/>
        <w:bottom w:val="none" w:sz="0" w:space="0" w:color="auto"/>
        <w:right w:val="none" w:sz="0" w:space="0" w:color="auto"/>
      </w:divBdr>
    </w:div>
    <w:div w:id="1879735953">
      <w:marLeft w:val="0"/>
      <w:marRight w:val="0"/>
      <w:marTop w:val="0"/>
      <w:marBottom w:val="0"/>
      <w:divBdr>
        <w:top w:val="none" w:sz="0" w:space="0" w:color="auto"/>
        <w:left w:val="none" w:sz="0" w:space="0" w:color="auto"/>
        <w:bottom w:val="none" w:sz="0" w:space="0" w:color="auto"/>
        <w:right w:val="none" w:sz="0" w:space="0" w:color="auto"/>
      </w:divBdr>
    </w:div>
    <w:div w:id="1879735954">
      <w:marLeft w:val="0"/>
      <w:marRight w:val="0"/>
      <w:marTop w:val="0"/>
      <w:marBottom w:val="0"/>
      <w:divBdr>
        <w:top w:val="none" w:sz="0" w:space="0" w:color="auto"/>
        <w:left w:val="none" w:sz="0" w:space="0" w:color="auto"/>
        <w:bottom w:val="none" w:sz="0" w:space="0" w:color="auto"/>
        <w:right w:val="none" w:sz="0" w:space="0" w:color="auto"/>
      </w:divBdr>
    </w:div>
    <w:div w:id="1879735955">
      <w:marLeft w:val="0"/>
      <w:marRight w:val="0"/>
      <w:marTop w:val="0"/>
      <w:marBottom w:val="0"/>
      <w:divBdr>
        <w:top w:val="none" w:sz="0" w:space="0" w:color="auto"/>
        <w:left w:val="none" w:sz="0" w:space="0" w:color="auto"/>
        <w:bottom w:val="none" w:sz="0" w:space="0" w:color="auto"/>
        <w:right w:val="none" w:sz="0" w:space="0" w:color="auto"/>
      </w:divBdr>
    </w:div>
    <w:div w:id="1879735956">
      <w:marLeft w:val="0"/>
      <w:marRight w:val="0"/>
      <w:marTop w:val="0"/>
      <w:marBottom w:val="0"/>
      <w:divBdr>
        <w:top w:val="none" w:sz="0" w:space="0" w:color="auto"/>
        <w:left w:val="none" w:sz="0" w:space="0" w:color="auto"/>
        <w:bottom w:val="none" w:sz="0" w:space="0" w:color="auto"/>
        <w:right w:val="none" w:sz="0" w:space="0" w:color="auto"/>
      </w:divBdr>
    </w:div>
    <w:div w:id="1879735957">
      <w:marLeft w:val="0"/>
      <w:marRight w:val="0"/>
      <w:marTop w:val="0"/>
      <w:marBottom w:val="0"/>
      <w:divBdr>
        <w:top w:val="none" w:sz="0" w:space="0" w:color="auto"/>
        <w:left w:val="none" w:sz="0" w:space="0" w:color="auto"/>
        <w:bottom w:val="none" w:sz="0" w:space="0" w:color="auto"/>
        <w:right w:val="none" w:sz="0" w:space="0" w:color="auto"/>
      </w:divBdr>
    </w:div>
    <w:div w:id="1879735958">
      <w:marLeft w:val="0"/>
      <w:marRight w:val="0"/>
      <w:marTop w:val="0"/>
      <w:marBottom w:val="0"/>
      <w:divBdr>
        <w:top w:val="none" w:sz="0" w:space="0" w:color="auto"/>
        <w:left w:val="none" w:sz="0" w:space="0" w:color="auto"/>
        <w:bottom w:val="none" w:sz="0" w:space="0" w:color="auto"/>
        <w:right w:val="none" w:sz="0" w:space="0" w:color="auto"/>
      </w:divBdr>
    </w:div>
    <w:div w:id="1879735959">
      <w:marLeft w:val="0"/>
      <w:marRight w:val="0"/>
      <w:marTop w:val="0"/>
      <w:marBottom w:val="0"/>
      <w:divBdr>
        <w:top w:val="none" w:sz="0" w:space="0" w:color="auto"/>
        <w:left w:val="none" w:sz="0" w:space="0" w:color="auto"/>
        <w:bottom w:val="none" w:sz="0" w:space="0" w:color="auto"/>
        <w:right w:val="none" w:sz="0" w:space="0" w:color="auto"/>
      </w:divBdr>
    </w:div>
    <w:div w:id="1879735960">
      <w:marLeft w:val="0"/>
      <w:marRight w:val="0"/>
      <w:marTop w:val="0"/>
      <w:marBottom w:val="0"/>
      <w:divBdr>
        <w:top w:val="none" w:sz="0" w:space="0" w:color="auto"/>
        <w:left w:val="none" w:sz="0" w:space="0" w:color="auto"/>
        <w:bottom w:val="none" w:sz="0" w:space="0" w:color="auto"/>
        <w:right w:val="none" w:sz="0" w:space="0" w:color="auto"/>
      </w:divBdr>
    </w:div>
    <w:div w:id="1879735961">
      <w:marLeft w:val="0"/>
      <w:marRight w:val="0"/>
      <w:marTop w:val="0"/>
      <w:marBottom w:val="0"/>
      <w:divBdr>
        <w:top w:val="none" w:sz="0" w:space="0" w:color="auto"/>
        <w:left w:val="none" w:sz="0" w:space="0" w:color="auto"/>
        <w:bottom w:val="none" w:sz="0" w:space="0" w:color="auto"/>
        <w:right w:val="none" w:sz="0" w:space="0" w:color="auto"/>
      </w:divBdr>
    </w:div>
    <w:div w:id="1879735962">
      <w:marLeft w:val="0"/>
      <w:marRight w:val="0"/>
      <w:marTop w:val="0"/>
      <w:marBottom w:val="0"/>
      <w:divBdr>
        <w:top w:val="none" w:sz="0" w:space="0" w:color="auto"/>
        <w:left w:val="none" w:sz="0" w:space="0" w:color="auto"/>
        <w:bottom w:val="none" w:sz="0" w:space="0" w:color="auto"/>
        <w:right w:val="none" w:sz="0" w:space="0" w:color="auto"/>
      </w:divBdr>
    </w:div>
    <w:div w:id="1879735963">
      <w:marLeft w:val="0"/>
      <w:marRight w:val="0"/>
      <w:marTop w:val="0"/>
      <w:marBottom w:val="0"/>
      <w:divBdr>
        <w:top w:val="none" w:sz="0" w:space="0" w:color="auto"/>
        <w:left w:val="none" w:sz="0" w:space="0" w:color="auto"/>
        <w:bottom w:val="none" w:sz="0" w:space="0" w:color="auto"/>
        <w:right w:val="none" w:sz="0" w:space="0" w:color="auto"/>
      </w:divBdr>
    </w:div>
    <w:div w:id="1879735964">
      <w:marLeft w:val="0"/>
      <w:marRight w:val="0"/>
      <w:marTop w:val="0"/>
      <w:marBottom w:val="0"/>
      <w:divBdr>
        <w:top w:val="none" w:sz="0" w:space="0" w:color="auto"/>
        <w:left w:val="none" w:sz="0" w:space="0" w:color="auto"/>
        <w:bottom w:val="none" w:sz="0" w:space="0" w:color="auto"/>
        <w:right w:val="none" w:sz="0" w:space="0" w:color="auto"/>
      </w:divBdr>
    </w:div>
    <w:div w:id="1879735965">
      <w:marLeft w:val="0"/>
      <w:marRight w:val="0"/>
      <w:marTop w:val="0"/>
      <w:marBottom w:val="0"/>
      <w:divBdr>
        <w:top w:val="none" w:sz="0" w:space="0" w:color="auto"/>
        <w:left w:val="none" w:sz="0" w:space="0" w:color="auto"/>
        <w:bottom w:val="none" w:sz="0" w:space="0" w:color="auto"/>
        <w:right w:val="none" w:sz="0" w:space="0" w:color="auto"/>
      </w:divBdr>
    </w:div>
    <w:div w:id="1879735966">
      <w:marLeft w:val="0"/>
      <w:marRight w:val="0"/>
      <w:marTop w:val="0"/>
      <w:marBottom w:val="0"/>
      <w:divBdr>
        <w:top w:val="none" w:sz="0" w:space="0" w:color="auto"/>
        <w:left w:val="none" w:sz="0" w:space="0" w:color="auto"/>
        <w:bottom w:val="none" w:sz="0" w:space="0" w:color="auto"/>
        <w:right w:val="none" w:sz="0" w:space="0" w:color="auto"/>
      </w:divBdr>
    </w:div>
    <w:div w:id="1879735967">
      <w:marLeft w:val="0"/>
      <w:marRight w:val="0"/>
      <w:marTop w:val="0"/>
      <w:marBottom w:val="0"/>
      <w:divBdr>
        <w:top w:val="none" w:sz="0" w:space="0" w:color="auto"/>
        <w:left w:val="none" w:sz="0" w:space="0" w:color="auto"/>
        <w:bottom w:val="none" w:sz="0" w:space="0" w:color="auto"/>
        <w:right w:val="none" w:sz="0" w:space="0" w:color="auto"/>
      </w:divBdr>
    </w:div>
    <w:div w:id="1879735968">
      <w:marLeft w:val="0"/>
      <w:marRight w:val="0"/>
      <w:marTop w:val="0"/>
      <w:marBottom w:val="0"/>
      <w:divBdr>
        <w:top w:val="none" w:sz="0" w:space="0" w:color="auto"/>
        <w:left w:val="none" w:sz="0" w:space="0" w:color="auto"/>
        <w:bottom w:val="none" w:sz="0" w:space="0" w:color="auto"/>
        <w:right w:val="none" w:sz="0" w:space="0" w:color="auto"/>
      </w:divBdr>
    </w:div>
    <w:div w:id="1879735969">
      <w:marLeft w:val="0"/>
      <w:marRight w:val="0"/>
      <w:marTop w:val="0"/>
      <w:marBottom w:val="0"/>
      <w:divBdr>
        <w:top w:val="none" w:sz="0" w:space="0" w:color="auto"/>
        <w:left w:val="none" w:sz="0" w:space="0" w:color="auto"/>
        <w:bottom w:val="none" w:sz="0" w:space="0" w:color="auto"/>
        <w:right w:val="none" w:sz="0" w:space="0" w:color="auto"/>
      </w:divBdr>
    </w:div>
    <w:div w:id="1879735970">
      <w:marLeft w:val="0"/>
      <w:marRight w:val="0"/>
      <w:marTop w:val="0"/>
      <w:marBottom w:val="0"/>
      <w:divBdr>
        <w:top w:val="none" w:sz="0" w:space="0" w:color="auto"/>
        <w:left w:val="none" w:sz="0" w:space="0" w:color="auto"/>
        <w:bottom w:val="none" w:sz="0" w:space="0" w:color="auto"/>
        <w:right w:val="none" w:sz="0" w:space="0" w:color="auto"/>
      </w:divBdr>
    </w:div>
    <w:div w:id="1879735971">
      <w:marLeft w:val="0"/>
      <w:marRight w:val="0"/>
      <w:marTop w:val="0"/>
      <w:marBottom w:val="0"/>
      <w:divBdr>
        <w:top w:val="none" w:sz="0" w:space="0" w:color="auto"/>
        <w:left w:val="none" w:sz="0" w:space="0" w:color="auto"/>
        <w:bottom w:val="none" w:sz="0" w:space="0" w:color="auto"/>
        <w:right w:val="none" w:sz="0" w:space="0" w:color="auto"/>
      </w:divBdr>
    </w:div>
    <w:div w:id="1879735972">
      <w:marLeft w:val="0"/>
      <w:marRight w:val="0"/>
      <w:marTop w:val="0"/>
      <w:marBottom w:val="0"/>
      <w:divBdr>
        <w:top w:val="none" w:sz="0" w:space="0" w:color="auto"/>
        <w:left w:val="none" w:sz="0" w:space="0" w:color="auto"/>
        <w:bottom w:val="none" w:sz="0" w:space="0" w:color="auto"/>
        <w:right w:val="none" w:sz="0" w:space="0" w:color="auto"/>
      </w:divBdr>
    </w:div>
    <w:div w:id="1879735973">
      <w:marLeft w:val="0"/>
      <w:marRight w:val="0"/>
      <w:marTop w:val="0"/>
      <w:marBottom w:val="0"/>
      <w:divBdr>
        <w:top w:val="none" w:sz="0" w:space="0" w:color="auto"/>
        <w:left w:val="none" w:sz="0" w:space="0" w:color="auto"/>
        <w:bottom w:val="none" w:sz="0" w:space="0" w:color="auto"/>
        <w:right w:val="none" w:sz="0" w:space="0" w:color="auto"/>
      </w:divBdr>
    </w:div>
    <w:div w:id="1879735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14</Pages>
  <Words>2764</Words>
  <Characters>15761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武汉海关关于发布境外技术性贸易措施风险信息的提示</dc:title>
  <dc:subject/>
  <dc:creator>fanzeng1</dc:creator>
  <cp:keywords/>
  <dc:description/>
  <cp:lastModifiedBy>范思齐</cp:lastModifiedBy>
  <cp:revision>4</cp:revision>
  <dcterms:created xsi:type="dcterms:W3CDTF">2022-09-15T03:16:00Z</dcterms:created>
  <dcterms:modified xsi:type="dcterms:W3CDTF">2022-09-15T03:19:00Z</dcterms:modified>
</cp:coreProperties>
</file>