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autoSpaceDN w:val="0"/>
        <w:adjustRightInd w:val="0"/>
        <w:snapToGrid w:val="0"/>
        <w:spacing w:line="560" w:lineRule="exact"/>
        <w:ind w:firstLine="420"/>
        <w:jc w:val="center"/>
        <w:rPr>
          <w:rFonts w:ascii="方正小标宋_GBK" w:eastAsia="方正小标宋_GBK" w:cs="Times New Roman"/>
          <w:sz w:val="44"/>
          <w:szCs w:val="44"/>
        </w:rPr>
      </w:pPr>
      <w:r>
        <w:rPr>
          <w:rFonts w:ascii="方正小标宋_GBK" w:eastAsia="方正小标宋_GBK" w:cs="方正小标宋_GBK" w:hint="eastAsia"/>
          <w:sz w:val="44"/>
          <w:szCs w:val="44"/>
        </w:rPr>
        <w:t>武汉海关关于发布境外技术性贸易措施风险信息的提示</w:t>
      </w:r>
    </w:p>
    <w:p>
      <w:pPr>
        <w:autoSpaceDN w:val="0"/>
        <w:adjustRightInd w:val="0"/>
        <w:snapToGrid w:val="0"/>
        <w:spacing w:line="560" w:lineRule="exact"/>
        <w:jc w:val="center"/>
        <w:rPr>
          <w:rFonts w:ascii="方正楷体_GBK" w:eastAsia="方正楷体_GBK" w:cs="Times New Roman"/>
          <w:sz w:val="32"/>
          <w:szCs w:val="32"/>
        </w:rPr>
      </w:pPr>
      <w:r>
        <w:rPr>
          <w:rFonts w:ascii="方正楷体_GBK" w:eastAsia="方正楷体_GBK" w:cs="方正楷体_GBK" w:hint="eastAsia"/>
          <w:sz w:val="32"/>
          <w:szCs w:val="32"/>
        </w:rPr>
        <w:t>（</w:t>
      </w:r>
      <w:r>
        <w:rPr>
          <w:rFonts w:ascii="方正楷体_GBK" w:eastAsia="方正楷体_GBK" w:cs="方正楷体_GBK"/>
          <w:sz w:val="32"/>
          <w:szCs w:val="32"/>
        </w:rPr>
        <w:t>202</w:t>
      </w:r>
      <w:r>
        <w:rPr>
          <w:rFonts w:ascii="方正楷体_GBK" w:eastAsia="方正楷体_GBK" w:cs="方正楷体_GBK" w:hint="eastAsia"/>
          <w:sz w:val="32"/>
          <w:szCs w:val="32"/>
        </w:rPr>
        <w:t>306期总第37期）</w:t>
      </w:r>
    </w:p>
    <w:p>
      <w:pPr>
        <w:autoSpaceDN w:val="0"/>
        <w:adjustRightInd w:val="0"/>
        <w:snapToGrid w:val="0"/>
        <w:spacing w:line="560" w:lineRule="exact"/>
        <w:ind w:firstLineChars="200" w:firstLine="640"/>
        <w:rPr>
          <w:rFonts w:ascii="方正仿宋_GBK" w:eastAsia="方正仿宋_GBK" w:cs="Times New Roman"/>
          <w:sz w:val="32"/>
          <w:szCs w:val="32"/>
        </w:rPr>
      </w:pPr>
      <w:r>
        <w:rPr>
          <w:rFonts w:ascii="方正仿宋_GBK" w:eastAsia="方正仿宋_GBK" w:cs="方正仿宋_GBK" w:hint="eastAsia"/>
          <w:sz w:val="32"/>
          <w:szCs w:val="32"/>
        </w:rPr>
        <w:t>当前我国面临复杂严峻的外贸形势，国外技术性贸易措施依然是影响我国企业出口的重要因素之一。为进一步降低技术性贸易措施对湖北出口企业可能造成的影响，推动湖北产品更好“走出去”，提高贸易便利化水平，助力企业开拓海外市场，武汉海关收集整理了近期部分境外技术性贸易措施，供外贸企业参考。现将收集的相关信息公布提示如下：</w:t>
      </w:r>
    </w:p>
    <w:tbl>
      <w:tblPr>
        <w:jc w:val="left"/>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1384"/>
        <w:gridCol w:w="637"/>
        <w:gridCol w:w="12153"/>
      </w:tblGrid>
      <w:tr>
        <w:trPr>
          <w:trHeight w:val="593"/>
        </w:trPr>
        <w:tc>
          <w:tcPr>
            <w:tcW w:w="1384" w:type="dxa"/>
          </w:tcPr>
          <w:p>
            <w:pPr>
              <w:autoSpaceDN w:val="0"/>
              <w:jc w:val="center"/>
              <w:rPr>
                <w:rFonts w:ascii="Times New Roman" w:cs="Times New Roman" w:hAnsi="Times New Roman"/>
                <w:b/>
                <w:bCs/>
              </w:rPr>
            </w:pPr>
            <w:r>
              <w:rPr>
                <w:rFonts w:ascii="Times New Roman" w:cs="Times New Roman" w:hAnsi="Times New Roman"/>
                <w:b/>
                <w:bCs/>
              </w:rPr>
              <w:t>国家</w:t>
            </w:r>
          </w:p>
          <w:p>
            <w:pPr>
              <w:autoSpaceDN w:val="0"/>
              <w:jc w:val="center"/>
              <w:rPr>
                <w:rFonts w:ascii="Times New Roman" w:cs="Times New Roman" w:hAnsi="Times New Roman"/>
                <w:b/>
                <w:bCs/>
              </w:rPr>
            </w:pPr>
            <w:r>
              <w:rPr>
                <w:rFonts w:ascii="Times New Roman" w:cs="Times New Roman" w:hAnsi="Times New Roman"/>
                <w:b/>
                <w:bCs/>
              </w:rPr>
              <w:t>（地区组织）</w:t>
            </w:r>
          </w:p>
        </w:tc>
        <w:tc>
          <w:tcPr>
            <w:tcW w:w="637" w:type="dxa"/>
            <w:vAlign w:val="center"/>
          </w:tcPr>
          <w:p>
            <w:pPr>
              <w:autoSpaceDN w:val="0"/>
              <w:jc w:val="center"/>
              <w:rPr>
                <w:rFonts w:ascii="Times New Roman" w:cs="Times New Roman" w:hAnsi="Times New Roman"/>
              </w:rPr>
            </w:pPr>
            <w:r>
              <w:rPr>
                <w:rFonts w:ascii="Times New Roman" w:cs="Times New Roman" w:hAnsi="Times New Roman"/>
                <w:b/>
                <w:bCs/>
              </w:rPr>
              <w:t>序号</w:t>
            </w:r>
          </w:p>
        </w:tc>
        <w:tc>
          <w:tcPr>
            <w:tcW w:w="12153" w:type="dxa"/>
          </w:tcPr>
          <w:p>
            <w:pPr>
              <w:autoSpaceDN w:val="0"/>
              <w:jc w:val="center"/>
              <w:rPr>
                <w:rFonts w:ascii="Times New Roman" w:cs="Times New Roman" w:hAnsi="Times New Roman"/>
              </w:rPr>
            </w:pPr>
            <w:r>
              <w:rPr>
                <w:rFonts w:ascii="Times New Roman" w:cs="Times New Roman" w:hAnsi="Times New Roman"/>
                <w:b/>
                <w:bCs/>
                <w:sz w:val="28"/>
                <w:szCs w:val="28"/>
              </w:rPr>
              <w:t>提示信息</w:t>
            </w:r>
          </w:p>
        </w:tc>
      </w:tr>
      <w:tr>
        <w:tc>
          <w:tcPr>
            <w:tcW w:w="1384" w:type="dxa"/>
            <w:vMerge w:val="restart"/>
            <w:vAlign w:val="center"/>
          </w:tcPr>
          <w:p>
            <w:pPr>
              <w:widowControl/>
              <w:jc w:val="center"/>
              <w:textAlignment w:val="center"/>
              <w:rPr>
                <w:rFonts w:ascii="Times New Roman" w:cs="Times New Roman" w:hAnsi="Times New Roman"/>
                <w:color w:val="000000"/>
                <w:sz w:val="24"/>
                <w:szCs w:val="24"/>
              </w:rPr>
            </w:pPr>
            <w:r>
              <w:rPr>
                <w:rFonts w:ascii="Times New Roman" w:cs="Times New Roman" w:hAnsi="Times New Roman"/>
                <w:color w:val="000000"/>
                <w:sz w:val="24"/>
                <w:szCs w:val="24"/>
              </w:rPr>
              <w:t>美国</w:t>
            </w: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w:t>
            </w:r>
          </w:p>
        </w:tc>
        <w:tc>
          <w:tcPr>
            <w:tcW w:w="12153" w:type="dxa"/>
            <w:vAlign w:val="center"/>
          </w:tcPr>
          <w:p>
            <w:pPr>
              <w:jc w:val="left"/>
              <w:rPr>
                <w:rFonts w:ascii="宋体" w:cs="宋体"/>
                <w:sz w:val="22"/>
                <w:szCs w:val="22"/>
              </w:rPr>
            </w:pPr>
            <w:r>
              <w:rPr>
                <w:rFonts w:hint="eastAsia"/>
                <w:color w:val="000000"/>
                <w:sz w:val="22"/>
                <w:szCs w:val="22"/>
              </w:rPr>
              <w:t>国家有害空气污染物排放标准：燃煤和燃油电力公用蒸汽发电机组——撤销2020年的复议并确认适当和必要的补充调查结果，拟议法规——环保署提议修订《燃煤和燃油电力公用蒸汽发电机组（EGU）有害空气污染物国家排放标准（NESHAP）》，通常称为汞和空气有毒物质标准（MATS）。具体而言，环保署建议修订现有燃煤EGU的非汞（Hg）金属HAP（可过滤颗粒物（fPM））的替代标准；fPM合规性证明要求；燃褐煤EGU的汞标准；以及启动的定义。这些拟议修正案是环保署对2020年5月22日残留风险和MATS技术审查（RTR）的审查结果。</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w:t>
            </w:r>
          </w:p>
        </w:tc>
        <w:tc>
          <w:tcPr>
            <w:tcW w:w="12153" w:type="dxa"/>
            <w:vAlign w:val="center"/>
          </w:tcPr>
          <w:p>
            <w:pPr>
              <w:jc w:val="left"/>
              <w:rPr>
                <w:rFonts w:ascii="宋体" w:cs="宋体"/>
                <w:sz w:val="22"/>
                <w:szCs w:val="22"/>
              </w:rPr>
            </w:pPr>
            <w:r>
              <w:rPr>
                <w:rFonts w:hint="eastAsia"/>
                <w:color w:val="000000"/>
                <w:sz w:val="22"/>
                <w:szCs w:val="22"/>
              </w:rPr>
              <w:t>低排放车辆计划，拟议法规——本措施旨在修订特拉华州行政法典第7编第1140部分，更新引用加州先进清洁汽车II低排放车辆和温室气体标准，并增加2027年及以后车型年零排放车辆的要求。</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w:t>
            </w:r>
          </w:p>
        </w:tc>
        <w:tc>
          <w:tcPr>
            <w:tcW w:w="12153" w:type="dxa"/>
            <w:vAlign w:val="center"/>
          </w:tcPr>
          <w:p>
            <w:pPr>
              <w:jc w:val="left"/>
              <w:rPr>
                <w:rFonts w:ascii="宋体" w:cs="宋体"/>
                <w:sz w:val="22"/>
                <w:szCs w:val="22"/>
              </w:rPr>
            </w:pPr>
            <w:r>
              <w:rPr>
                <w:rFonts w:hint="eastAsia"/>
                <w:color w:val="000000"/>
                <w:sz w:val="22"/>
                <w:szCs w:val="22"/>
              </w:rPr>
              <w:t>重型车辆温室气体排放标准——第3阶段，拟议规则制定通知、拟于2023年5月2日和5月3日举行的公开听证会的通知——环境保护署（EPA）提议从2028车型年（MY）至2032车型年颁布新的重型公路车辆温室气体标准，并修订之前根据环保署《中型和重型发动机和车辆的温室气体排放和燃料效率标准——第2阶段规则》（“HD GHG第2阶段”）制定的2027车型年某些温室气体标准。本文件建议更新平均、储存和交易计划的离散要素，包括取消某些类型电动公路重型车辆HD GHG第2阶段先进技术激励计划的最后一个车型年的提案。环保署建议增加对零排放车辆电池和其他部件的保修要求，并要求为插电式混合动力和纯电动汽车提供面向客户的电池健康状态监测器。在本文件中，我们还对某些公路重型车辆规定和重型发动机的某些试验程序提出了额外的修订、澄清和编辑性修改。最后，作为这项措施的一部分，环保署建议修订其法规，解决新机车和机车用新发动机的州法规的优先权问题。2023年5月2日和5月3日将举行为期两天的线上公开听证会。如有必要，可在2023年5月4日再举行一次会议，以容纳报名作证的作证员人数。</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w:t>
            </w:r>
          </w:p>
        </w:tc>
        <w:tc>
          <w:tcPr>
            <w:tcW w:w="12153" w:type="dxa"/>
            <w:vAlign w:val="center"/>
          </w:tcPr>
          <w:p>
            <w:pPr>
              <w:jc w:val="left"/>
              <w:rPr>
                <w:rFonts w:ascii="宋体" w:cs="宋体"/>
                <w:sz w:val="22"/>
                <w:szCs w:val="22"/>
              </w:rPr>
            </w:pPr>
            <w:r>
              <w:rPr>
                <w:rFonts w:hint="eastAsia"/>
                <w:color w:val="000000"/>
                <w:sz w:val="22"/>
                <w:szCs w:val="22"/>
              </w:rPr>
              <w:t>加利福尼亚州非道路发动机污染控制标准；小型越野发动机；授权请求；举行公开听证会和发表评议意见的机会，在2023年6月27日的通知和线上公开听证会上，加州空气资源委员会（CARB）已通知环保署其已通过关于其小型越野发动机法规（Small Off-Road Engine regulation）的两套修正案（SORE修正案（SORE Amendments））。在2022年12月20日的信函中，CARB要求环保署根据《清洁空气法》（CAA）（Clean Air Act (CAA)）第209（e）条授权这些修正案。该通知宣布，环保署将举行公开听证会，审议加利福尼亚州的授权请求，并且环保署现在正在认可对这些请求提出的书面评议意见。</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5</w:t>
            </w:r>
          </w:p>
        </w:tc>
        <w:tc>
          <w:tcPr>
            <w:tcW w:w="12153" w:type="dxa"/>
            <w:vAlign w:val="center"/>
          </w:tcPr>
          <w:p>
            <w:pPr>
              <w:jc w:val="left"/>
              <w:rPr>
                <w:rFonts w:ascii="宋体" w:cs="宋体"/>
                <w:sz w:val="22"/>
                <w:szCs w:val="22"/>
              </w:rPr>
            </w:pPr>
            <w:r>
              <w:rPr>
                <w:rFonts w:hint="eastAsia"/>
                <w:color w:val="000000"/>
                <w:sz w:val="22"/>
                <w:szCs w:val="22"/>
              </w:rPr>
              <w:t>监管指南草案：生产和使用设施中安全相关执行机构的鉴定，指南草案；2023年6月21日前征求意见——美国核管理委员会（NRC）发布监管指南草案（DG-1386）“生产和使用设施中安全相关执行机构的鉴定”，征求公众评议意见。该指南草案（DG）是监管指南（RG）1.73“核电厂安全相关执行机构的鉴定试验”的拟议修订第2版，描述了NRC工作人员可接受的方法，以满足生产和使用设施中安全相关执行机构环境鉴定的监管要求。除例外、补充和澄清外，它还认可电气和电子工程师协会（IEEE）标准（Std.）382-2019（Institute of Electrical and Electronics Engineers (IEEE) Standard (Std.) 382-2019）“IEEE核电站和其他核设施安全相关执行机构的鉴定标准”。</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6</w:t>
            </w:r>
          </w:p>
        </w:tc>
        <w:tc>
          <w:tcPr>
            <w:tcW w:w="12153" w:type="dxa"/>
            <w:vAlign w:val="center"/>
          </w:tcPr>
          <w:p>
            <w:pPr>
              <w:jc w:val="left"/>
              <w:rPr>
                <w:rFonts w:ascii="宋体" w:cs="宋体"/>
                <w:sz w:val="22"/>
                <w:szCs w:val="22"/>
              </w:rPr>
            </w:pPr>
            <w:r>
              <w:rPr>
                <w:rFonts w:hint="eastAsia"/>
                <w:color w:val="000000"/>
                <w:sz w:val="22"/>
                <w:szCs w:val="22"/>
              </w:rPr>
              <w:t>国家有害空气污染物排放标准：铁燧岩铁矿石加工修正案，拟议规则——环境保护署（EPA）根据《清洁空气法》（CAA）（Clean Air Act (CAA)）的要求，提议对《铁燧岩铁矿石加工厂有害空气污染物排放标准（NESHAP）》进行修订。为了确保来源类别中所有有害空气污染物（HAP）的排放都受到监管，环保署提出汞的排放标准。环保署还提议修订氯化氢和氟化氢的现有排放标准。</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7</w:t>
            </w:r>
          </w:p>
        </w:tc>
        <w:tc>
          <w:tcPr>
            <w:tcW w:w="12153" w:type="dxa"/>
            <w:vAlign w:val="center"/>
          </w:tcPr>
          <w:p>
            <w:pPr>
              <w:jc w:val="left"/>
              <w:rPr>
                <w:rFonts w:ascii="宋体" w:cs="宋体"/>
                <w:sz w:val="22"/>
                <w:szCs w:val="22"/>
              </w:rPr>
            </w:pPr>
            <w:r>
              <w:rPr>
                <w:rFonts w:hint="eastAsia"/>
                <w:color w:val="000000"/>
                <w:sz w:val="22"/>
                <w:szCs w:val="22"/>
              </w:rPr>
              <w:t>国家有害空气污染物排放标准：胶合板和复合木制品，拟议规则——美国国家环境保护局（EPA）根据《清洁空气法》（CAA）的要求，正提议对《国家胶合板和复合木制品（PCWP）有害空气污染物排放标准（NESHAP）》进行修订。为了确保来源类别中所有有害空气污染物（HAP）的排放都受到监管，环保局正在为目前未受监管的总HAP（包括乙醛、丙烯醛、甲醛、甲醇、苯酚、丙醛）、无汞（非Hg）HAP金属、汞（Hg）、氯化氢（HCl）、多环芳烃（PAH）、二恶英/呋喃（D/F）和二异氰酸亚甲基酯（MDI）工艺提出HAP标准。环保局提出的标准包括适用于PCWP工艺装置和位于HAP排放主要来源的设施处的木材窑的排放限制和工作实践。该提案回应了2004年PCWP NESHAP在2007年的部分保留和空缺，其中环保局先前得出的结论是最大可实现控制技术由无控制（即无减排）表示。该提案还对环保局收到的关于技术审查和环保局于2020年8月13日最终确定的PCWP NESHAP的其他修正案的复议申请中提出的问题做出回应或征求意见。</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8</w:t>
            </w:r>
          </w:p>
        </w:tc>
        <w:tc>
          <w:tcPr>
            <w:tcW w:w="12153" w:type="dxa"/>
            <w:vAlign w:val="center"/>
          </w:tcPr>
          <w:p>
            <w:pPr>
              <w:jc w:val="left"/>
              <w:rPr>
                <w:rFonts w:ascii="宋体" w:cs="宋体"/>
                <w:sz w:val="22"/>
                <w:szCs w:val="22"/>
              </w:rPr>
            </w:pPr>
            <w:r>
              <w:rPr>
                <w:rFonts w:hint="eastAsia"/>
                <w:color w:val="000000"/>
                <w:sz w:val="22"/>
                <w:szCs w:val="22"/>
              </w:rPr>
              <w:t>节能计划：家用洗碗机节能标准，2023年6月8日通过网络研讨会召开的公开会议上，关于拟议规则制定和征求意见通知——经修订的《能源政策和养护法》（Energy Policy and Conservation Act, as amended）（“EPCA”）规定了各种消费品以及某些商业和工业设备的节能标准（energy conservation standards），包括洗碗机（dishwashers）。EPCA还要求美国能源部（“DOE”或“能源部”）定期修订更为严格的标准，并确认标准在技术上是否可行，在经济上是否合理，是否能显著节能。在这份拟议规则制定通知（“NOPR”）中，能源部提出了修订后的洗碗机节能标准，并要求对这些拟议标准和相关的分析和结果提出评议意见。</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9</w:t>
            </w:r>
          </w:p>
        </w:tc>
        <w:tc>
          <w:tcPr>
            <w:tcW w:w="12153" w:type="dxa"/>
            <w:vAlign w:val="center"/>
          </w:tcPr>
          <w:p>
            <w:pPr>
              <w:jc w:val="left"/>
              <w:rPr>
                <w:rFonts w:ascii="宋体" w:cs="宋体"/>
                <w:sz w:val="22"/>
                <w:szCs w:val="22"/>
              </w:rPr>
            </w:pPr>
            <w:r>
              <w:rPr>
                <w:rFonts w:hint="eastAsia"/>
                <w:color w:val="000000"/>
                <w:sz w:val="22"/>
                <w:szCs w:val="22"/>
              </w:rPr>
              <w:t>管道安全：燃气管道泄漏检测与修复，拟议规则制定通知——PHMSA提出监管修正案，执行国会在2020年《保护管道基础设施和加强安全法》中的授权，以减少新建和现有输气管道、配气管道、受监管（A、B、C类和海上）集气管道、地下天然气储存设施和液化天然气设施的甲烷排放。对第192部分受监管天然气管道的拟议修正案包括：加强泄漏调查和巡查要求；高级泄漏检测计划的性能标准；具有强制性维修时间表的泄漏分级和维修标准；减少排污排放的要求；泄压装置设计、配置和维护要求；以及明确的故障调查要求。最后，PHMSA提议扩大对运输部管辖范围内所有天然气管道设施（包括地下天然气储存设施和液化天然气设施）运营商的报告要求。</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10</w:t>
            </w:r>
          </w:p>
        </w:tc>
        <w:tc>
          <w:tcPr>
            <w:tcW w:w="12153" w:type="dxa"/>
            <w:vAlign w:val="center"/>
          </w:tcPr>
          <w:p>
            <w:pPr>
              <w:jc w:val="center"/>
              <w:rPr>
                <w:rFonts w:ascii="宋体" w:cs="宋体"/>
                <w:sz w:val="22"/>
                <w:szCs w:val="22"/>
              </w:rPr>
            </w:pPr>
            <w:r>
              <w:rPr>
                <w:rFonts w:hint="eastAsia"/>
                <w:color w:val="000000"/>
                <w:sz w:val="22"/>
                <w:szCs w:val="22"/>
              </w:rPr>
              <w:t>仿制玩具枪标识，直接最终法规——《联邦能源管理改进法案更新》将监管仿制玩具枪标识的权力从商务部转移到消费品安全委员会。委员会正在发布这一直接最终法规，以采用商务部关于仿制玩具枪标识的法规，并进行了非实质性和一致性修改。</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11</w:t>
            </w:r>
          </w:p>
        </w:tc>
        <w:tc>
          <w:tcPr>
            <w:tcW w:w="12153" w:type="dxa"/>
            <w:vAlign w:val="center"/>
          </w:tcPr>
          <w:p>
            <w:pPr>
              <w:jc w:val="left"/>
              <w:rPr>
                <w:rFonts w:ascii="宋体" w:cs="宋体"/>
                <w:sz w:val="22"/>
                <w:szCs w:val="22"/>
              </w:rPr>
            </w:pPr>
            <w:r>
              <w:rPr>
                <w:rFonts w:hint="eastAsia"/>
                <w:color w:val="000000"/>
                <w:sz w:val="22"/>
                <w:szCs w:val="22"/>
              </w:rPr>
              <w:t>节能计划：自动商用制冰机节能标准。东部时间2023年6月14日下午1点至4点通过网络研讨会公开拟议规则制定通知和公开会议公告——经修订的《能源政策和养护法》（EPCA）规定了各种消费品和某些商业及工业设备的节能标准，包括自动商用制冰机。EPCA还要求美国能源部（DOE）定期修订更为严格的标准，并确认标准在技术上是否可行，在经济上是否合理，是否能显著节能。在本拟议规则制定通知（NOPR）中，美国能源部提议修订和建立自动商用制冰机的节能标准，并宣布召开公开会议，听取对这些拟议标准的评议意见以及相关的分析和结果。</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12</w:t>
            </w:r>
          </w:p>
        </w:tc>
        <w:tc>
          <w:tcPr>
            <w:tcW w:w="12153" w:type="dxa"/>
            <w:vAlign w:val="center"/>
          </w:tcPr>
          <w:p>
            <w:pPr>
              <w:jc w:val="left"/>
              <w:rPr>
                <w:rFonts w:ascii="宋体" w:cs="宋体"/>
                <w:sz w:val="22"/>
                <w:szCs w:val="22"/>
              </w:rPr>
            </w:pPr>
            <w:r>
              <w:rPr>
                <w:rFonts w:hint="eastAsia"/>
                <w:color w:val="000000"/>
                <w:sz w:val="22"/>
                <w:szCs w:val="22"/>
              </w:rPr>
              <w:t>最低标准——校车，拟议法规修正案——法规更新旨在与联邦标准保持一致，反映当前的行业惯例，并纳入科罗拉多州学校学生载送专业人员的建议。此外，草案中纳入了各种“清理”措辞的改动，以澄清要求。G/TBT/N/USA/1969中通报的最初规章制定过程终止，因为联邦机动车安全标准已纳入法规草案。当标准被纳入法规时，科罗拉多州的监管机构必须遵守一套非常具体的要求。纳入的标准必须通过名称以及日期/版本进行标识，并且还必须包括对这些标准在哪里可以找到和查阅的解释。为了将引用的联邦标准正确纳入科罗拉多州法规，将于山地标准时间2023年6月14日上午9点举行规章制定听证会。</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13</w:t>
            </w:r>
          </w:p>
        </w:tc>
        <w:tc>
          <w:tcPr>
            <w:tcW w:w="12153" w:type="dxa"/>
            <w:vAlign w:val="center"/>
          </w:tcPr>
          <w:p>
            <w:pPr>
              <w:jc w:val="left"/>
              <w:rPr>
                <w:rFonts w:ascii="宋体" w:cs="宋体"/>
                <w:sz w:val="22"/>
                <w:szCs w:val="22"/>
              </w:rPr>
            </w:pPr>
            <w:r>
              <w:rPr>
                <w:rFonts w:hint="eastAsia"/>
                <w:color w:val="000000"/>
                <w:sz w:val="22"/>
                <w:szCs w:val="22"/>
              </w:rPr>
              <w:t>合成有机化学品制造业新源性能标准以及合成有机化学品制造业和一类、二类聚合物及树脂工业有害空气污染物国家排放标准，拟议法规——美国环境保护署（EPA）正在提议修订适用于合成有机化学品制造业（SOCMI）的新源性能标准（NSPS），以及适用于合成有机化学品制造业（SOCMI）（通常称为有害有机NESHAP或HON）和一类、二类聚合物及树脂行业（P&amp;R I和P&amp;R II）的有害空气污染物国家排放标准（NESHAP）。环保署正在提出环保署对HON、P&amp;R I和P&amp;R II的技术审查以及适用于SOCMI的NSPS八年审查的结果。环保署还根据其对行政复议请愿书中提出的某些问题的复议，针对SOCMI中的挥发性有机化合物（VOC）设备泄漏提出了NSPS修正案。此外，环保署正提议在考虑了受P&amp;R I约束的HON和氯丁橡胶生产工艺的风险评估结果后，提高环氧乙烷（EtO）排放和氯丁二烯排放的排放标准。最后，环保署正提议取消启动、关闭和故障（SSM）期间标准的豁免，酌情增加此类时期的工作实践标准，并增加电子报告的规定。我们估计，NESHAP的拟议修正案将使SOCMI、P&amp;R I和P&amp;R II来源的有害空气污染物（HAP）排放量（不包括环氧乙烷和氯丁二烯），每年减少约1,123吨，HON工艺的环氧乙烷排放量每年减少约58吨，P&amp;R I中氯丁橡胶生产工艺的氯丁二烯排放量每年减少约14吨。我们还估计，NESHAP的这些拟议修正案将使SOCMI和P&amp;R I排放源类别中燃烧产生的HAP过量排放量每年再减少4,858吨。最后，我们估计NSPS的拟议修正案将使SOCMI排放源类别的挥发性有机化合物排放量每年减少约1,609吨。</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14</w:t>
            </w:r>
          </w:p>
        </w:tc>
        <w:tc>
          <w:tcPr>
            <w:tcW w:w="12153" w:type="dxa"/>
            <w:vAlign w:val="center"/>
          </w:tcPr>
          <w:p>
            <w:pPr>
              <w:rPr>
                <w:rFonts w:ascii="宋体" w:cs="宋体"/>
                <w:sz w:val="22"/>
                <w:szCs w:val="22"/>
              </w:rPr>
            </w:pPr>
            <w:r>
              <w:rPr>
                <w:rFonts w:hint="eastAsia"/>
                <w:color w:val="000000"/>
                <w:sz w:val="22"/>
                <w:szCs w:val="22"/>
              </w:rPr>
              <w:t>拟议政策声明；允许使用无线电测高度计的飞机演示，内容简述：可用性通知；征求意见书——本文件宣布政策声明草案PS-AIR-600-39-01“允许使用无线电测高度计的飞机演示”的可用性。美国联邦航空管理局邀请公众对PS-AIR-600-39-01发表意见。</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15</w:t>
            </w:r>
          </w:p>
        </w:tc>
        <w:tc>
          <w:tcPr>
            <w:tcW w:w="12153" w:type="dxa"/>
            <w:vAlign w:val="center"/>
          </w:tcPr>
          <w:p>
            <w:pPr>
              <w:jc w:val="center"/>
              <w:rPr>
                <w:rFonts w:ascii="宋体" w:cs="宋体"/>
                <w:sz w:val="22"/>
                <w:szCs w:val="22"/>
              </w:rPr>
            </w:pPr>
            <w:r>
              <w:rPr>
                <w:rFonts w:hint="eastAsia"/>
                <w:color w:val="000000"/>
                <w:sz w:val="22"/>
                <w:szCs w:val="22"/>
              </w:rPr>
              <w:t>床垫和床垫褥的易燃性标准；会议通知和征求意见书。公开会议的公告和征求意见书——美国消费品安全委员会将于2023年6月14日在马里兰州罗克维尔市的美国消费品安全委员会实验室举行一次关于床垫和床垫褥易燃性标准的会议。会邀请有关各方参加或列席会议。注册人员可选择远程观看。我们还邀请有关各方就本通知中讨论的本标准可能的变更提交书面意见。</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16</w:t>
            </w:r>
          </w:p>
        </w:tc>
        <w:tc>
          <w:tcPr>
            <w:tcW w:w="12153" w:type="dxa"/>
            <w:vAlign w:val="center"/>
          </w:tcPr>
          <w:p>
            <w:pPr>
              <w:jc w:val="left"/>
              <w:rPr>
                <w:rFonts w:ascii="宋体" w:cs="宋体"/>
                <w:sz w:val="22"/>
                <w:szCs w:val="22"/>
              </w:rPr>
            </w:pPr>
            <w:r>
              <w:rPr>
                <w:rFonts w:hint="eastAsia"/>
                <w:color w:val="000000"/>
                <w:sz w:val="22"/>
                <w:szCs w:val="22"/>
              </w:rPr>
              <w:t>收到数份针对各类商品内/表的农药化学品残留提交的农药申请；关于提交申请和征求评议意见的通知。本文件宣布，环保署收到了数份首次提交的农药申请，要求制定或修改各类商品内/表的农药化学品残留的法规。</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17</w:t>
            </w:r>
          </w:p>
        </w:tc>
        <w:tc>
          <w:tcPr>
            <w:tcW w:w="12153" w:type="dxa"/>
            <w:vAlign w:val="center"/>
          </w:tcPr>
          <w:p>
            <w:pPr>
              <w:jc w:val="left"/>
              <w:rPr>
                <w:rFonts w:ascii="宋体" w:cs="宋体"/>
                <w:sz w:val="22"/>
                <w:szCs w:val="22"/>
              </w:rPr>
            </w:pPr>
            <w:r>
              <w:rPr>
                <w:rFonts w:hint="eastAsia"/>
                <w:color w:val="000000"/>
                <w:sz w:val="22"/>
                <w:szCs w:val="22"/>
              </w:rPr>
              <w:t>氟磺胺草醚；农药限量。最终法规。本法规规定了蔬菜、球茎，第3-07组；蔬菜、瓜类，第9组；蔬菜、果实，第8-10组；蔬菜、荚果、饲料和干草，大豆除外，亚组7-22A内/表的氟磺胺草醚的残留限量。</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18</w:t>
            </w:r>
          </w:p>
        </w:tc>
        <w:tc>
          <w:tcPr>
            <w:tcW w:w="12153" w:type="dxa"/>
            <w:vAlign w:val="center"/>
          </w:tcPr>
          <w:p>
            <w:pPr>
              <w:rPr>
                <w:rFonts w:ascii="宋体" w:cs="宋体"/>
                <w:sz w:val="22"/>
                <w:szCs w:val="22"/>
              </w:rPr>
            </w:pPr>
            <w:r>
              <w:rPr>
                <w:rFonts w:hint="eastAsia"/>
                <w:color w:val="000000"/>
                <w:sz w:val="22"/>
                <w:szCs w:val="22"/>
              </w:rPr>
              <w:t>环氟菌胺；农药限量。本法规规定了甜菜内/表环氟菌胺的残留限量。</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19</w:t>
            </w:r>
          </w:p>
        </w:tc>
        <w:tc>
          <w:tcPr>
            <w:tcW w:w="12153" w:type="dxa"/>
            <w:vAlign w:val="center"/>
          </w:tcPr>
          <w:p>
            <w:pPr>
              <w:rPr>
                <w:rFonts w:ascii="宋体" w:cs="宋体"/>
                <w:sz w:val="22"/>
                <w:szCs w:val="22"/>
              </w:rPr>
            </w:pPr>
            <w:r>
              <w:rPr>
                <w:rFonts w:hint="eastAsia"/>
                <w:color w:val="000000"/>
                <w:sz w:val="22"/>
                <w:szCs w:val="22"/>
              </w:rPr>
              <w:t>精吡氟禾草灵；农药限量。本法规规定了多种商品内/表精吡氟禾草灵的残留限量。</w:t>
            </w:r>
          </w:p>
        </w:tc>
      </w:tr>
      <w:tr>
        <w:tc>
          <w:tcPr>
            <w:tcW w:w="1384" w:type="dxa"/>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巴拿马</w:t>
            </w: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20</w:t>
            </w:r>
          </w:p>
        </w:tc>
        <w:tc>
          <w:tcPr>
            <w:tcW w:w="12153" w:type="dxa"/>
            <w:vAlign w:val="center"/>
          </w:tcPr>
          <w:p>
            <w:pPr>
              <w:jc w:val="left"/>
              <w:rPr>
                <w:rFonts w:ascii="宋体" w:cs="宋体"/>
                <w:sz w:val="22"/>
                <w:szCs w:val="22"/>
              </w:rPr>
            </w:pPr>
            <w:r>
              <w:rPr>
                <w:rFonts w:hint="eastAsia"/>
                <w:color w:val="000000"/>
                <w:sz w:val="22"/>
                <w:szCs w:val="22"/>
              </w:rPr>
              <w:t>制定具有治疗特性的维生素、膳食和食品补充剂注册条例的部长决议，所通报的决议将规范在国家药剂和药品管理局注册具有治疗特性的维生素、膳食和食品补充剂。</w:t>
            </w:r>
          </w:p>
        </w:tc>
      </w:tr>
      <w:tr>
        <w:tc>
          <w:tcPr>
            <w:tcW w:w="1384" w:type="dxa"/>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俄罗斯</w:t>
            </w: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21</w:t>
            </w:r>
          </w:p>
        </w:tc>
        <w:tc>
          <w:tcPr>
            <w:tcW w:w="12153" w:type="dxa"/>
            <w:vAlign w:val="center"/>
          </w:tcPr>
          <w:p>
            <w:pPr>
              <w:jc w:val="left"/>
              <w:rPr>
                <w:rFonts w:ascii="宋体" w:cs="宋体"/>
                <w:sz w:val="22"/>
                <w:szCs w:val="22"/>
              </w:rPr>
            </w:pPr>
            <w:r>
              <w:rPr>
                <w:rFonts w:hint="eastAsia"/>
                <w:color w:val="000000"/>
                <w:sz w:val="22"/>
                <w:szCs w:val="22"/>
              </w:rPr>
              <w:t>俄罗斯联邦政府2023年4月3日第532号决议；俄罗斯联邦政府2022年12月8日第3835-r号法令。 这些决议规定了国家控制的规则，其中包括：- 评估进口种子是否符合农业植物种子的品种和播种（种植）特性要求，包括对进口到俄罗斯联邦的种子的品种和播种（种植）特性的附加（特殊）要求；- 根据国家和州际标准，对进口种子取样进行检测和（或）评估，包括检测进口种子中的转基因生物。</w:t>
            </w:r>
          </w:p>
        </w:tc>
      </w:tr>
      <w:tr>
        <w:trPr>
          <w:trHeight w:val="90"/>
        </w:trP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韩国</w:t>
            </w: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22</w:t>
            </w:r>
          </w:p>
        </w:tc>
        <w:tc>
          <w:tcPr>
            <w:tcW w:w="12153" w:type="dxa"/>
            <w:vAlign w:val="center"/>
          </w:tcPr>
          <w:p>
            <w:pPr>
              <w:jc w:val="left"/>
              <w:rPr>
                <w:rFonts w:ascii="宋体" w:cs="宋体"/>
                <w:sz w:val="22"/>
                <w:szCs w:val="22"/>
              </w:rPr>
            </w:pPr>
            <w:r>
              <w:rPr>
                <w:rFonts w:hint="eastAsia"/>
                <w:color w:val="000000"/>
                <w:sz w:val="22"/>
                <w:szCs w:val="22"/>
              </w:rPr>
              <w:t>《化妆品安全标准条例》的拟议修正案，《化妆品安全标准条例》的拟议修正案内容如下：1）增加化妆品禁用成分-将2-硝基-对苯二胺、2-氨基-4-硝基苯酚、2-氨基-5-硝基苯酚、2-氨基-5-硝基苯酚硫酸盐、邻氨基苯酚（2-氨基苯酚）硫酸盐、2-氯-对苯二胺硫酸盐和间苯二胺硫酸盐增加到染发成分禁用清单中。2）化妆品中最高浓度限值的变化- 2,4-二氨基苯酚 HCl：0.5%→0.02%- 过硼酸钠，过硼酸钠一水合物：12.0%→7.0%。</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23</w:t>
            </w:r>
          </w:p>
        </w:tc>
        <w:tc>
          <w:tcPr>
            <w:tcW w:w="12153" w:type="dxa"/>
            <w:vAlign w:val="center"/>
          </w:tcPr>
          <w:p>
            <w:pPr>
              <w:jc w:val="left"/>
              <w:rPr>
                <w:rFonts w:ascii="宋体" w:cs="宋体"/>
                <w:sz w:val="22"/>
                <w:szCs w:val="22"/>
              </w:rPr>
            </w:pPr>
            <w:r>
              <w:rPr>
                <w:rFonts w:hint="eastAsia"/>
                <w:color w:val="000000"/>
                <w:sz w:val="22"/>
                <w:szCs w:val="22"/>
              </w:rPr>
              <w:t>电磁场强度测量技术要求修正案草案，本法规规定了电动汽车无线电能传输设备电磁场强度测量方法的技术规范。</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24</w:t>
            </w:r>
          </w:p>
        </w:tc>
        <w:tc>
          <w:tcPr>
            <w:tcW w:w="12153" w:type="dxa"/>
            <w:vAlign w:val="center"/>
          </w:tcPr>
          <w:p>
            <w:pPr>
              <w:jc w:val="left"/>
              <w:rPr>
                <w:rFonts w:ascii="宋体" w:cs="宋体"/>
                <w:sz w:val="22"/>
                <w:szCs w:val="22"/>
              </w:rPr>
            </w:pPr>
            <w:r>
              <w:rPr>
                <w:rFonts w:hint="eastAsia"/>
                <w:color w:val="000000"/>
                <w:sz w:val="22"/>
                <w:szCs w:val="22"/>
              </w:rPr>
              <w:t>能效管理设备条例。新的指定产品，包括范围、能效标准和测试方法：洗碗机、便携式空调、计算机、多功能打印机、泵、使用外部转换器的管状LED灯；空气净化器、电动冷热水供应商、除湿器、机顶盒的能效标准的修订；干衣机适用范围的扩大。</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25</w:t>
            </w:r>
          </w:p>
        </w:tc>
        <w:tc>
          <w:tcPr>
            <w:tcW w:w="12153" w:type="dxa"/>
            <w:vAlign w:val="center"/>
          </w:tcPr>
          <w:p>
            <w:pPr>
              <w:jc w:val="left"/>
              <w:rPr>
                <w:rFonts w:ascii="宋体" w:cs="宋体"/>
                <w:sz w:val="22"/>
                <w:szCs w:val="22"/>
              </w:rPr>
            </w:pPr>
            <w:r>
              <w:rPr>
                <w:rFonts w:hint="eastAsia"/>
                <w:color w:val="000000"/>
                <w:sz w:val="22"/>
                <w:szCs w:val="22"/>
              </w:rPr>
              <w:t>《准药品标准生产规范》的拟议修正案，韩国食品药品安全部（MFDS）正在对《准药品标准生产规范》进行如下修订：- 修改了准药物中含有水杨酸甲酯的外用喷雾贴剂和皮肤软膏等的注意事项。</w:t>
            </w:r>
          </w:p>
        </w:tc>
      </w:tr>
      <w:tr>
        <w:tc>
          <w:tcPr>
            <w:tcW w:w="1384" w:type="dxa"/>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肯尼亚</w:t>
            </w: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26</w:t>
            </w:r>
          </w:p>
        </w:tc>
        <w:tc>
          <w:tcPr>
            <w:tcW w:w="12153" w:type="dxa"/>
            <w:vAlign w:val="center"/>
          </w:tcPr>
          <w:p>
            <w:pPr>
              <w:jc w:val="left"/>
              <w:rPr>
                <w:rFonts w:ascii="宋体" w:cs="宋体"/>
                <w:sz w:val="22"/>
                <w:szCs w:val="22"/>
              </w:rPr>
            </w:pPr>
            <w:r>
              <w:rPr>
                <w:rFonts w:hint="eastAsia"/>
                <w:color w:val="000000"/>
                <w:sz w:val="22"/>
                <w:szCs w:val="22"/>
              </w:rPr>
              <w:t>DEAS 1142: 2023，液体玻璃清洁剂——规范</w:t>
            </w:r>
            <w:r>
              <w:rPr>
                <w:color w:val="000000"/>
                <w:sz w:val="22"/>
                <w:szCs w:val="22"/>
              </w:rPr>
              <w:t>（</w:t>
            </w:r>
            <w:r>
              <w:rPr>
                <w:rFonts w:hint="eastAsia"/>
                <w:color w:val="000000"/>
                <w:sz w:val="22"/>
                <w:szCs w:val="22"/>
              </w:rPr>
              <w:t>第一版</w:t>
            </w:r>
            <w:r>
              <w:rPr>
                <w:color w:val="000000"/>
                <w:sz w:val="22"/>
                <w:szCs w:val="22"/>
              </w:rPr>
              <w:t>）。</w:t>
            </w:r>
            <w:r>
              <w:rPr>
                <w:rFonts w:hint="eastAsia"/>
                <w:color w:val="000000"/>
                <w:sz w:val="22"/>
                <w:szCs w:val="22"/>
              </w:rPr>
              <w:t>本东非标准草案规定了液体玻璃清洁剂的要求、抽样和检测方法。</w:t>
            </w:r>
          </w:p>
        </w:tc>
      </w:tr>
      <w:tr>
        <w:tc>
          <w:tcPr>
            <w:tcW w:w="1384" w:type="dxa"/>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秘鲁</w:t>
            </w: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27</w:t>
            </w:r>
          </w:p>
        </w:tc>
        <w:tc>
          <w:tcPr>
            <w:tcW w:w="12153" w:type="dxa"/>
            <w:vAlign w:val="center"/>
          </w:tcPr>
          <w:p>
            <w:pPr>
              <w:jc w:val="left"/>
              <w:rPr>
                <w:rFonts w:ascii="宋体" w:cs="宋体"/>
                <w:sz w:val="22"/>
                <w:szCs w:val="22"/>
              </w:rPr>
            </w:pPr>
            <w:r>
              <w:rPr>
                <w:rFonts w:hint="eastAsia"/>
                <w:color w:val="000000"/>
                <w:sz w:val="22"/>
                <w:szCs w:val="22"/>
              </w:rPr>
              <w:t>理事会决议草案确定对原产于和来自于德国的昆虫病原线虫（夜蛾斯氏线虫和小卷蛾斯氏线虫）的强制性植物检疫要求。   在完成相关有害生物风险分析后，关于原产于和来自于德国的昆虫病原线虫（夜蛾斯氏线虫和小卷蛾斯氏线虫）进口到秘鲁的植物检疫要求草案提交公众咨询。 </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加拿大</w:t>
            </w: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28</w:t>
            </w:r>
          </w:p>
        </w:tc>
        <w:tc>
          <w:tcPr>
            <w:tcW w:w="12153" w:type="dxa"/>
            <w:vAlign w:val="center"/>
          </w:tcPr>
          <w:p>
            <w:pPr>
              <w:jc w:val="left"/>
              <w:rPr>
                <w:rFonts w:ascii="宋体" w:cs="宋体"/>
                <w:sz w:val="22"/>
                <w:szCs w:val="22"/>
              </w:rPr>
            </w:pPr>
            <w:r>
              <w:rPr>
                <w:rFonts w:hint="eastAsia"/>
                <w:color w:val="000000"/>
                <w:sz w:val="22"/>
                <w:szCs w:val="22"/>
              </w:rPr>
              <w:t>关于RSS-198第1期的磋商。 加拿大创新科学和经济发展部特此通知，加拿大对以下标准进行了修订：RSS-198第1期《在3900-3980MHz频段内运行的灵活使用宽带设备》，规定了在3900-3980MHz频段内运行的固定和/或移动服务中使用的灵活使用宽带设备的认证要求。</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29</w:t>
            </w:r>
          </w:p>
        </w:tc>
        <w:tc>
          <w:tcPr>
            <w:tcW w:w="12153" w:type="dxa"/>
            <w:vAlign w:val="center"/>
          </w:tcPr>
          <w:p>
            <w:pPr>
              <w:jc w:val="left"/>
              <w:rPr>
                <w:rFonts w:ascii="宋体" w:cs="宋体"/>
                <w:sz w:val="22"/>
                <w:szCs w:val="22"/>
              </w:rPr>
            </w:pPr>
            <w:r>
              <w:rPr>
                <w:rFonts w:hint="eastAsia"/>
                <w:color w:val="000000"/>
                <w:sz w:val="22"/>
                <w:szCs w:val="22"/>
              </w:rPr>
              <w:t>拟定最大残留限量：咯菌腈（PMRL2023-25）。本通报文件PMRL2023-25的目的是就加拿大卫生部有害生物管理局（PMRA）提出的咯菌腈的最大残留限量（MRL）进行咨询。 最大残留限量（ppm）：1 、 未经加工的农产品（RAC）和/或加工商品 0.01  ； 去壳嫩豇豆2（1 ppm=百万分之）。2、已经为作物亚组6A和6B中的其他荚可食用的豆类蔬菜以及去壳嫩豌豆和菜豆制定了最大残留限量。</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30</w:t>
            </w:r>
          </w:p>
        </w:tc>
        <w:tc>
          <w:tcPr>
            <w:tcW w:w="12153" w:type="dxa"/>
            <w:vAlign w:val="center"/>
          </w:tcPr>
          <w:p>
            <w:pPr>
              <w:jc w:val="left"/>
              <w:rPr>
                <w:rFonts w:ascii="宋体" w:cs="宋体"/>
                <w:sz w:val="22"/>
                <w:szCs w:val="22"/>
              </w:rPr>
            </w:pPr>
            <w:r>
              <w:rPr>
                <w:rFonts w:hint="eastAsia"/>
                <w:color w:val="000000"/>
                <w:sz w:val="22"/>
                <w:szCs w:val="22"/>
              </w:rPr>
              <w:t xml:space="preserve">拟定最大残留限量：氟唑环菌胺（PMRL2023-24）。通报文件PMRL2023-24的目的是就加拿大卫生部有害生物管理局（PMRA）提出的氟唑环菌胺的最大残留限量（MRL）进行咨询。 最大残留限量（ppm）1、未经加工的农产品（RAC）和/或加工商品 0.01； 荚可食用的豆类蔬菜（作物亚组6A）；去壳嫩豌豆和菜豆（作物亚组6B）（1 ppm=百万分之）。 </w:t>
            </w:r>
          </w:p>
        </w:tc>
      </w:tr>
      <w:tr>
        <w:tc>
          <w:tcPr>
            <w:tcW w:w="1384" w:type="dxa"/>
            <w:vMerge w:val="restart"/>
            <w:vAlign w:val="center"/>
          </w:tcPr>
          <w:p>
            <w:pPr>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加纳</w:t>
            </w: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31</w:t>
            </w:r>
          </w:p>
        </w:tc>
        <w:tc>
          <w:tcPr>
            <w:tcW w:w="12153" w:type="dxa"/>
            <w:vAlign w:val="center"/>
          </w:tcPr>
          <w:p>
            <w:pPr>
              <w:jc w:val="left"/>
              <w:rPr>
                <w:rFonts w:ascii="宋体" w:cs="宋体"/>
                <w:sz w:val="22"/>
                <w:szCs w:val="22"/>
              </w:rPr>
            </w:pPr>
            <w:r>
              <w:rPr>
                <w:rFonts w:hint="eastAsia"/>
                <w:color w:val="000000"/>
                <w:sz w:val="22"/>
                <w:szCs w:val="22"/>
              </w:rPr>
              <w:t>DGS IG 1: 2023——GS ARS 1000国家实施指南——第1部分：作为实体/农民团体/农民合作社的可可农户的要求——管理体系和绩效。本文件旨在作为建立和实施可可种植管理系统的指南，以确保可持续和可追溯的可可豆的生产。本文件还指导认证机构和计划所有者实施认证计划和审核可可农场管理系统，以确保符合监管和其他质量要求。 </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32</w:t>
            </w:r>
          </w:p>
        </w:tc>
        <w:tc>
          <w:tcPr>
            <w:tcW w:w="12153" w:type="dxa"/>
            <w:vAlign w:val="center"/>
          </w:tcPr>
          <w:p>
            <w:pPr>
              <w:jc w:val="left"/>
              <w:rPr>
                <w:rFonts w:ascii="宋体" w:cs="宋体"/>
                <w:sz w:val="22"/>
                <w:szCs w:val="22"/>
              </w:rPr>
            </w:pPr>
            <w:r>
              <w:rPr>
                <w:rFonts w:hint="eastAsia"/>
                <w:color w:val="000000"/>
                <w:sz w:val="22"/>
                <w:szCs w:val="22"/>
              </w:rPr>
              <w:t>DGS IG 3: 2023——GS ARS 1000国家实施指南——第3部分：可可认证计划的要求</w:t>
            </w:r>
            <w:r>
              <w:rPr>
                <w:color w:val="000000"/>
                <w:sz w:val="22"/>
                <w:szCs w:val="22"/>
              </w:rPr>
              <w:t>。</w:t>
            </w:r>
            <w:r>
              <w:rPr>
                <w:rFonts w:hint="eastAsia"/>
                <w:color w:val="000000"/>
                <w:sz w:val="22"/>
                <w:szCs w:val="22"/>
              </w:rPr>
              <w:t>本文件旨在作为建立和实施可可种植管理系统的指南，以确保可持续和可追溯的可可豆的生产。本文件还指导认证机构和计划所有者实施认证计划和审核可可农场管理系统，以确保符合监管和其他质量要求。</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33</w:t>
            </w:r>
          </w:p>
        </w:tc>
        <w:tc>
          <w:tcPr>
            <w:tcW w:w="12153" w:type="dxa"/>
            <w:vAlign w:val="center"/>
          </w:tcPr>
          <w:p>
            <w:pPr>
              <w:jc w:val="left"/>
              <w:rPr>
                <w:rFonts w:ascii="宋体" w:cs="宋体"/>
                <w:sz w:val="22"/>
                <w:szCs w:val="22"/>
              </w:rPr>
            </w:pPr>
            <w:r>
              <w:rPr>
                <w:rFonts w:hint="eastAsia"/>
                <w:color w:val="000000"/>
                <w:sz w:val="22"/>
                <w:szCs w:val="22"/>
              </w:rPr>
              <w:t>DGS IG 2: 2023——GS ARS 1000国家实施指南——第2部分：可可质量和可追溯性要求</w:t>
            </w:r>
            <w:r>
              <w:rPr>
                <w:color w:val="000000"/>
                <w:sz w:val="22"/>
                <w:szCs w:val="22"/>
              </w:rPr>
              <w:t>。</w:t>
            </w:r>
            <w:r>
              <w:rPr>
                <w:rFonts w:hint="eastAsia"/>
                <w:color w:val="000000"/>
                <w:sz w:val="22"/>
                <w:szCs w:val="22"/>
              </w:rPr>
              <w:t>本文件旨在作为建立和实施可可种植管理系统的指南，以确保可持续和可追溯的可可豆的生产。本文件还指导认证机构和计划所有者实施认证计划和审核可可农场管理系统，以确保符合监管和其他质量要求。</w:t>
            </w:r>
          </w:p>
        </w:tc>
      </w:tr>
      <w:tr>
        <w:trPr>
          <w:trHeight w:val="90"/>
        </w:trP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纳米米亚</w:t>
            </w: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34</w:t>
            </w:r>
          </w:p>
        </w:tc>
        <w:tc>
          <w:tcPr>
            <w:tcW w:w="12153" w:type="dxa"/>
            <w:vAlign w:val="center"/>
          </w:tcPr>
          <w:p>
            <w:pPr>
              <w:jc w:val="left"/>
              <w:rPr>
                <w:color w:val="000000"/>
                <w:sz w:val="22"/>
                <w:szCs w:val="22"/>
              </w:rPr>
            </w:pPr>
            <w:r>
              <w:rPr>
                <w:rFonts w:hint="eastAsia"/>
                <w:color w:val="000000"/>
                <w:sz w:val="22"/>
                <w:szCs w:val="22"/>
              </w:rPr>
              <w:t>DNAMS 0026: 2023：甜玉米的营销和商业质量控制，本标准适用于玉米（Zea mays L）品种（栽培品种）的甜玉米，不包括用于工业加工的甜玉米。</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35</w:t>
            </w:r>
          </w:p>
        </w:tc>
        <w:tc>
          <w:tcPr>
            <w:tcW w:w="12153" w:type="dxa"/>
            <w:vAlign w:val="center"/>
          </w:tcPr>
          <w:p>
            <w:pPr>
              <w:jc w:val="left"/>
              <w:rPr>
                <w:rFonts w:ascii="宋体" w:cs="宋体"/>
                <w:sz w:val="22"/>
                <w:szCs w:val="22"/>
              </w:rPr>
            </w:pPr>
            <w:r>
              <w:rPr>
                <w:rFonts w:hint="eastAsia"/>
                <w:color w:val="000000"/>
                <w:sz w:val="22"/>
                <w:szCs w:val="22"/>
              </w:rPr>
              <w:t>瓜类的营销和商业质量控制，本文件适用于从甜瓜（Cucumis melo L）培育而来的、新鲜供应给消费者的瓜类品种（栽培品种）。如Charentais甜瓜、Galia甜瓜和Ogen甜瓜。不包括用于工业加工的瓜类。</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36</w:t>
            </w:r>
          </w:p>
        </w:tc>
        <w:tc>
          <w:tcPr>
            <w:tcW w:w="12153" w:type="dxa"/>
            <w:vAlign w:val="center"/>
          </w:tcPr>
          <w:p>
            <w:pPr>
              <w:jc w:val="left"/>
              <w:rPr>
                <w:rFonts w:ascii="宋体" w:cs="宋体"/>
                <w:sz w:val="22"/>
                <w:szCs w:val="22"/>
              </w:rPr>
            </w:pPr>
            <w:r>
              <w:rPr>
                <w:rFonts w:hint="eastAsia"/>
                <w:color w:val="000000"/>
                <w:sz w:val="22"/>
                <w:szCs w:val="22"/>
              </w:rPr>
              <w:t>DNAMS 0024:2023 - 宝石南瓜的营销和商业质量控制，本文件适用于葫芦科南瓜（Cucurbita pepo L）品种（栽培品种）的宝石南瓜，具有坚硬的外壳和成熟的商业生产的新鲜食用种子。不包括用于工业加工的宝石南瓜。</w:t>
            </w:r>
          </w:p>
        </w:tc>
      </w:tr>
      <w:tr>
        <w:tc>
          <w:tcPr>
            <w:tcW w:w="1384" w:type="dxa"/>
            <w:vMerge w:val="restart"/>
            <w:vAlign w:val="center"/>
          </w:tcPr>
          <w:p>
            <w:pPr>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欧盟</w:t>
            </w: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37</w:t>
            </w:r>
          </w:p>
        </w:tc>
        <w:tc>
          <w:tcPr>
            <w:tcW w:w="12153" w:type="dxa"/>
            <w:vAlign w:val="center"/>
          </w:tcPr>
          <w:p>
            <w:pPr>
              <w:jc w:val="left"/>
              <w:rPr>
                <w:rFonts w:ascii="宋体" w:cs="宋体"/>
                <w:sz w:val="22"/>
                <w:szCs w:val="22"/>
              </w:rPr>
            </w:pPr>
            <w:r>
              <w:rPr>
                <w:rFonts w:hint="eastAsia"/>
                <w:color w:val="000000"/>
                <w:sz w:val="22"/>
                <w:szCs w:val="22"/>
              </w:rPr>
              <w:t>根据欧洲议会和欧盟理事会关于将植物保护产品投放市场的（EC）第1107/2009号法规，关于不延长活性物质精异丙甲草胺批准的欧盟委员会执行法规草案，以及对欧盟委员会（EU）第540/2011号执行法规附件的修订。本欧盟委员会执行法规草案规定，活性物质精异丙甲草胺的批准不根据（EC）第1107/2009号法规进行续期。欧盟成员国应撤销对含有精异丙甲草胺作为活性物质的植物保护产品的授权。认证不续期是基于根据（EC）第1107/2009号法规对在欧盟用作农药活性物质的物质进行的首次评估。该物质之前根据第91/414/EEC号指令进行了评估和批准。该决定仅涉及将该物质和含有该物质的植物保护产品投放市场。在含有该物质的产品库存未获批准且所有宽限期届满后，可能会对最大残留限量采取单独行动，并将根据卫生与植物检疫程序发出单独通报。</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38</w:t>
            </w:r>
          </w:p>
        </w:tc>
        <w:tc>
          <w:tcPr>
            <w:tcW w:w="12153" w:type="dxa"/>
            <w:vAlign w:val="center"/>
          </w:tcPr>
          <w:p>
            <w:pPr>
              <w:jc w:val="left"/>
              <w:rPr>
                <w:rFonts w:ascii="宋体" w:cs="宋体"/>
                <w:sz w:val="22"/>
                <w:szCs w:val="22"/>
              </w:rPr>
            </w:pPr>
            <w:r>
              <w:rPr>
                <w:rFonts w:hint="eastAsia"/>
                <w:color w:val="000000"/>
                <w:sz w:val="22"/>
                <w:szCs w:val="22"/>
              </w:rPr>
              <w:t>修订欧洲议会和欧盟理事会关于在化妆品中使用纳米材料苯乙烯/丙烯酸类共聚物、苯乙烯磺酸钠/丙烯酸类共聚物、铜、胶体铜、羟基磷灰石、金、胶体金、金硫乙基氨基透明质酸、乙酰七肽-9胶体金、铂、胶体铂、乙酰四肽-17胶体铂和胶体银的（EC）第1223/2009号的欧盟委员会法规草案；（4页，英文），（4页，英文）。要求该措施草案发布禁止在化妆品中使用某些消费者安全科学委员会（SCCS）认为令人担忧的纳米材料。该措施草案此前已通过第EU/TBT/872号通报，但经过修改，其包括禁止使用胶体银（纳米）、限制使用羟基磷灰石（纳米）。特别是，对《化妆品法规》附件II（化妆品中禁用物质清单）和附件III（化妆品中限用物质清单）进行了修订，以便在内部市场上统一实施禁止使用和限制使用已认定令人担忧的纳米材料，并遵循最近SCCS对羟基磷灰石（纳米）的积极意见。通过批准本法规草案来确保欧盟化妆品对人类健康的高保护水平。</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39</w:t>
            </w:r>
          </w:p>
        </w:tc>
        <w:tc>
          <w:tcPr>
            <w:tcW w:w="12153" w:type="dxa"/>
            <w:vAlign w:val="center"/>
          </w:tcPr>
          <w:p>
            <w:pPr>
              <w:jc w:val="left"/>
              <w:rPr>
                <w:rFonts w:ascii="宋体" w:cs="宋体"/>
                <w:sz w:val="22"/>
                <w:szCs w:val="22"/>
              </w:rPr>
            </w:pPr>
            <w:r>
              <w:rPr>
                <w:rFonts w:hint="eastAsia"/>
                <w:color w:val="000000"/>
                <w:sz w:val="22"/>
                <w:szCs w:val="22"/>
              </w:rPr>
              <w:t>根据欧洲议会和欧盟理事会（EU）第528/2012号法规，欧盟委员会执行决议草案不批准将银铜沸石作为现有活性物质用于第4类杀生物剂产品，本委员会实施决定草案不批准银铜沸石作为活性物质用于产品类型4的杀生物剂产品。尚未证明该物质在食品接触材料中的使用具有足够的功效。此外，已经确定食用与经处理的聚合物接触的食品了对人类健康造成了不可接受的风险，并且无法确定适当的风险缓解措施来减轻这些风险。</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40</w:t>
            </w:r>
          </w:p>
        </w:tc>
        <w:tc>
          <w:tcPr>
            <w:tcW w:w="12153" w:type="dxa"/>
            <w:vAlign w:val="center"/>
          </w:tcPr>
          <w:p>
            <w:pPr>
              <w:jc w:val="left"/>
              <w:rPr>
                <w:rFonts w:ascii="宋体" w:cs="宋体"/>
                <w:sz w:val="22"/>
                <w:szCs w:val="22"/>
              </w:rPr>
            </w:pPr>
            <w:r>
              <w:rPr>
                <w:rFonts w:hint="eastAsia"/>
                <w:color w:val="000000"/>
                <w:sz w:val="22"/>
                <w:szCs w:val="22"/>
              </w:rPr>
              <w:t>2023年5月12日欧盟委员会（EU）第2023/961号执行法规，修订了（EU）第2017/2470号执行法规关于新型食品乳糖-N-新四糖的使用条件（与欧洲经济区相关的文本）。该措施授权改变婴儿配方奶粉和断奶后配方奶粉中使用的乳糖-N-新四糖的使用条件，目前授权的最高水平为0.6g/l，无需以1:2的使用比例与2'-岩藻基乳糖结合使用（一份乳糖-N-新四糖：两份2'-岩藻基乳糖）。此外，该措施取消了在乳基饮料和供幼儿使用的类似产品中以1:2的使用比例强制使用乳糖-N-新四糖与2'-岩藻基乳糖的组合，无需分别添加这两种新型食品。</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41</w:t>
            </w:r>
          </w:p>
        </w:tc>
        <w:tc>
          <w:tcPr>
            <w:tcW w:w="12153" w:type="dxa"/>
            <w:vAlign w:val="center"/>
          </w:tcPr>
          <w:p>
            <w:pPr>
              <w:jc w:val="left"/>
              <w:rPr>
                <w:rFonts w:ascii="宋体" w:cs="宋体"/>
                <w:sz w:val="22"/>
                <w:szCs w:val="22"/>
              </w:rPr>
            </w:pPr>
            <w:r>
              <w:rPr>
                <w:rFonts w:hint="eastAsia"/>
                <w:color w:val="000000"/>
                <w:sz w:val="22"/>
                <w:szCs w:val="22"/>
              </w:rPr>
              <w:t>2023年5月12日欧盟委员会（EU）第2023/951号执行法规修订了（EU）第2017/2470号执行法规中关于新型食品猪肾蛋白提取物的规范（与欧洲经济区相关的文本）。该措施授权使用猪肾的丙酮洗涤来获得的蛋白质提取物，并使用超高效液相色谱-荧光检测（UHPLC-FLD）作为目前授权测定所提取蛋白质中二胺氧化酶（DAO）酶活性的附加方法。</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42</w:t>
            </w:r>
          </w:p>
        </w:tc>
        <w:tc>
          <w:tcPr>
            <w:tcW w:w="12153" w:type="dxa"/>
            <w:vAlign w:val="center"/>
          </w:tcPr>
          <w:p>
            <w:pPr>
              <w:jc w:val="left"/>
              <w:rPr>
                <w:color w:val="000000"/>
                <w:sz w:val="22"/>
                <w:szCs w:val="22"/>
              </w:rPr>
            </w:pPr>
            <w:r>
              <w:rPr>
                <w:rFonts w:hint="eastAsia"/>
                <w:color w:val="000000"/>
                <w:sz w:val="22"/>
                <w:szCs w:val="22"/>
              </w:rPr>
              <w:t>3年5月12日欧盟委员会（EU）第2023/950号执行法规修订了（EU）第2017/2470号执行法规中关于新型食品2'-岩藻基乳糖的使用条件（与欧洲经济区相关的文本）。该措施授权改变2'-岩藻基乳糖的使用条件，以取消强制性条件，即当在婴儿配方奶粉和断奶后配方奶粉以及供幼儿使用的乳基饮料和类似产品中使用2'-岩藻基乳糖与乳酸-N-新四糖时，如果目前的授权含量高达1.2g/l，则只能按2:1的比例（两份2'-岩藻基乳糖：一份乳酸-N-新四糖）使用。</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瑞士</w:t>
            </w: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43</w:t>
            </w:r>
          </w:p>
        </w:tc>
        <w:tc>
          <w:tcPr>
            <w:tcW w:w="12153" w:type="dxa"/>
            <w:vAlign w:val="center"/>
          </w:tcPr>
          <w:p>
            <w:pPr>
              <w:jc w:val="left"/>
              <w:rPr>
                <w:rFonts w:ascii="宋体" w:cs="宋体"/>
                <w:sz w:val="22"/>
                <w:szCs w:val="22"/>
              </w:rPr>
            </w:pPr>
            <w:r>
              <w:rPr>
                <w:rFonts w:hint="eastAsia"/>
                <w:color w:val="000000"/>
                <w:sz w:val="22"/>
                <w:szCs w:val="22"/>
              </w:rPr>
              <w:t>DFI动物源性食品条例。允许人类食用的蜗牛清单中增加了大蜗牛（Helicidae）科、嗜石螺（Hygromiidae）科或缚紧螺（Sphincterochilidae）科的蜗牛。允许人类食用的动物清单中增加了蛙科侧褶蛙（Pelophylax）属的蛙的腿和双舌蛙科陆蛙（Fejervarya）属、大头蛙（Limnonectes）属和虎纹蛙（Hoplobatrachus）属的蛙的腿。由于饮食习惯的改变，其他种类的蛙腿和蜗牛也被开发出来，并投放市场供人类食用。因此，具体的卫生规则应扩大到涵盖这些物种，以确保来自这些物种的食品的安全。</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44</w:t>
            </w:r>
          </w:p>
        </w:tc>
        <w:tc>
          <w:tcPr>
            <w:tcW w:w="12153" w:type="dxa"/>
            <w:vAlign w:val="center"/>
          </w:tcPr>
          <w:p>
            <w:pPr>
              <w:jc w:val="left"/>
              <w:rPr>
                <w:color w:val="000000"/>
                <w:sz w:val="22"/>
                <w:szCs w:val="22"/>
              </w:rPr>
            </w:pPr>
            <w:r>
              <w:rPr>
                <w:rFonts w:hint="eastAsia"/>
                <w:color w:val="000000"/>
                <w:sz w:val="22"/>
                <w:szCs w:val="22"/>
              </w:rPr>
              <w:t>DFI关于污染物最高水平的条例。根据（EU）第2022/2388号法规，规定了各种动物源性食品中四种全氟烷基物质（PFAS）：全氟辛烷磺酸（PFOS）、全氟辛酸（PFOA）、全氟壬酸（PFNA）和全氟己烷磺酸（PFHxS）的最大限量，其总和被用于各种动物源性食品。 </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45</w:t>
            </w:r>
          </w:p>
        </w:tc>
        <w:tc>
          <w:tcPr>
            <w:tcW w:w="12153" w:type="dxa"/>
            <w:vAlign w:val="center"/>
          </w:tcPr>
          <w:p>
            <w:pPr>
              <w:jc w:val="left"/>
              <w:rPr>
                <w:rFonts w:ascii="宋体" w:cs="宋体"/>
                <w:sz w:val="22"/>
                <w:szCs w:val="22"/>
              </w:rPr>
            </w:pPr>
            <w:r>
              <w:rPr>
                <w:rFonts w:hint="eastAsia"/>
                <w:color w:val="000000"/>
                <w:sz w:val="22"/>
                <w:szCs w:val="22"/>
              </w:rPr>
              <w:t>DFI食品信息条例。生产商可自愿指出含量低于规定最高水平的潜在过敏原（痕量或无意混合物）。只有在这种情况下，才允许根据《食品标签条例》附件6第8号对过敏原使用“坚果”、“硬壳水果”或“可食用坚果”等通用术语，或根据附件6第1号对过敏原使用“含麸质的谷物”的术语。需要注意的是，有花生的必须始终单独注明，因其在植物学和过敏学上与坚果不同（附件6第5项）。</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46</w:t>
            </w:r>
          </w:p>
        </w:tc>
        <w:tc>
          <w:tcPr>
            <w:tcW w:w="12153" w:type="dxa"/>
            <w:vAlign w:val="center"/>
          </w:tcPr>
          <w:p>
            <w:pPr>
              <w:jc w:val="left"/>
              <w:rPr>
                <w:color w:val="000000"/>
                <w:sz w:val="22"/>
                <w:szCs w:val="22"/>
              </w:rPr>
            </w:pPr>
            <w:r>
              <w:rPr>
                <w:rFonts w:hint="eastAsia"/>
                <w:color w:val="000000"/>
                <w:sz w:val="22"/>
                <w:szCs w:val="22"/>
              </w:rPr>
              <w:t>DFI关于植物源性食品、蘑菇和食用盐的条例。修订不得用作食品或用于生产食品的植物、植物部分及其制剂和物质的清单。目前的附件1（未包含在本通报中）仅列出了不允许用作食品的植物。本次修订对附件进行了补充，新增了关于植物源性物质和制剂的部分。还根据（EU）第2021/4681号法规的规定更新了附件。由于芦荟属植物的叶子具有遗传毒性和致癌性，从其中提取的物质和制剂禁止用于食品。进一步的调整考虑了德意志联邦共和国及其各州物质清单的第二版。</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泰国</w:t>
            </w: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47</w:t>
            </w:r>
          </w:p>
        </w:tc>
        <w:tc>
          <w:tcPr>
            <w:tcW w:w="12153" w:type="dxa"/>
            <w:vAlign w:val="center"/>
          </w:tcPr>
          <w:p>
            <w:pPr>
              <w:jc w:val="left"/>
              <w:rPr>
                <w:rFonts w:ascii="宋体" w:cs="宋体"/>
                <w:sz w:val="22"/>
                <w:szCs w:val="22"/>
              </w:rPr>
            </w:pPr>
            <w:r>
              <w:rPr>
                <w:rFonts w:hint="eastAsia"/>
                <w:color w:val="000000"/>
                <w:sz w:val="22"/>
                <w:szCs w:val="22"/>
              </w:rPr>
              <w:t>泰国畜牧发展部下令暂停从比利时进口活家禽和家禽胴体，以防止高致病性禽流感（H5N1亚型）的传播    根据2023年2月6日《政府公报》的公告，自2023年2月7日起暂停从比利时进口活家禽和家禽胴体的期限，已于2023年5月7日届满。但是，世界动物卫生组织报告称，在比利时境内持续暴发高致病性禽流感（HPAI）疫情。因此，泰国有必要防止高致病性禽流感（HPAI）疫情传入国内。根据2015年《动物疫病法》，《泰国皇家公报》规定，自2023年5月8日起暂停从比利时进口活家禽和家禽胴体，为期90天。</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48</w:t>
            </w:r>
          </w:p>
        </w:tc>
        <w:tc>
          <w:tcPr>
            <w:tcW w:w="12153" w:type="dxa"/>
            <w:vAlign w:val="center"/>
          </w:tcPr>
          <w:p>
            <w:pPr>
              <w:jc w:val="left"/>
              <w:rPr>
                <w:rFonts w:ascii="宋体" w:cs="宋体"/>
                <w:sz w:val="22"/>
                <w:szCs w:val="22"/>
              </w:rPr>
            </w:pPr>
            <w:r>
              <w:rPr>
                <w:rFonts w:hint="eastAsia"/>
                <w:color w:val="000000"/>
                <w:sz w:val="22"/>
                <w:szCs w:val="22"/>
              </w:rPr>
              <w:t>根据2015年《动物疫病法》，泰国畜牧发展部（DLD）下令暂停从柬埔寨进口牛和水牛及其制品。根据2023年2月6日《政府公报》的公告，自2023年2月7日起暂停从柬埔寨进口牛和水牛及其制品的期限，已于2023年5月7日届满。但是，世界动物卫生组织（WOAH）报告称，柬埔寨境内持续暴发牛结节疹疫情。因此，泰国有必要防止牛结节疹传入国内。根据2015年《动物疫病法》，《泰国皇家公报》规定，自2023年5月8日起暂停从柬埔寨进口牛和水牛及其制品，为期90天。 </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49</w:t>
            </w:r>
          </w:p>
        </w:tc>
        <w:tc>
          <w:tcPr>
            <w:tcW w:w="12153" w:type="dxa"/>
            <w:vAlign w:val="center"/>
          </w:tcPr>
          <w:p>
            <w:pPr>
              <w:jc w:val="left"/>
              <w:rPr>
                <w:rFonts w:ascii="宋体" w:cs="宋体"/>
                <w:sz w:val="22"/>
                <w:szCs w:val="22"/>
              </w:rPr>
            </w:pPr>
            <w:r>
              <w:rPr>
                <w:rFonts w:hint="eastAsia"/>
                <w:color w:val="000000"/>
                <w:sz w:val="22"/>
                <w:szCs w:val="22"/>
              </w:rPr>
              <w:t> 泰国畜牧发展部下令暂停从意大利进口活家猪和野猪及其胴体，以防止非洲猪瘟的传播。根据2023年2月6日《政府公报》的公告，自2023年2月7日起暂停从意大利进口活家猪和野猪及其胴体的期限，已于2023年5月7日届满。但是，世界动物卫生组织报告称，意大利境内持续暴发非洲猪瘟疫情。因此，泰国有必要防止非洲猪瘟传入国内。根据2015年《动物疫病法》，《泰国皇家公报》公布称，自2023年5月8日起临时暂停从意大利进口活家猪和野猪及其胴体，为期90天。 </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50</w:t>
            </w:r>
          </w:p>
        </w:tc>
        <w:tc>
          <w:tcPr>
            <w:tcW w:w="12153" w:type="dxa"/>
            <w:vAlign w:val="center"/>
          </w:tcPr>
          <w:p>
            <w:pPr>
              <w:jc w:val="left"/>
              <w:rPr>
                <w:rFonts w:ascii="宋体" w:cs="宋体"/>
                <w:sz w:val="22"/>
                <w:szCs w:val="22"/>
              </w:rPr>
            </w:pPr>
            <w:r>
              <w:rPr>
                <w:rFonts w:hint="eastAsia"/>
                <w:color w:val="000000"/>
                <w:sz w:val="22"/>
                <w:szCs w:val="22"/>
              </w:rPr>
              <w:t>泰国畜牧发展部下令暂停从南非进口活家禽和家禽胴体，以防止高致病性禽流感（H5N1亚型）的传播。根据2023年2月6日《政府公报》的公告，自2023年2月7日起暂停从南非进口活家禽和家禽胴体的期限，已于2023年5月7日届满。但是，世界动物卫生组织报告称，在南非地区持续暴发高致病性禽流感（HPAI）疫情。因此，泰国有必要防止高致病性禽流感（HPAI）疫情传入国内。根据2015年《动物疫病法》，《泰国皇家公报》规定，自2023年5月8日起暂停从南非进口活家禽和家禽胴体，为期90天。</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51</w:t>
            </w:r>
          </w:p>
        </w:tc>
        <w:tc>
          <w:tcPr>
            <w:tcW w:w="12153" w:type="dxa"/>
            <w:vAlign w:val="center"/>
          </w:tcPr>
          <w:p>
            <w:pPr>
              <w:jc w:val="left"/>
              <w:rPr>
                <w:rFonts w:ascii="宋体" w:cs="宋体"/>
                <w:sz w:val="22"/>
                <w:szCs w:val="22"/>
              </w:rPr>
            </w:pPr>
            <w:r>
              <w:rPr>
                <w:rFonts w:hint="eastAsia"/>
                <w:color w:val="000000"/>
                <w:sz w:val="22"/>
                <w:szCs w:val="22"/>
              </w:rPr>
              <w:t>泰国畜牧发展部下令暂停从越南进口活家禽和家禽胴体，以防止高致病性禽流感（H5N1亚型）的传播。根据2023年2月6日《政府公报》的公告，自2023年2月7日起暂停从越南进口活家禽和家禽胴体的期限，已于2023年5月7日届满。但是，据世界动物卫生组织报告，在越南地区持续暴发高致病性禽流感（HPAI）疫情。因此，泰国有必要防止高致病性禽流感（HPAI）疫情传入国内。根据2015年《动物疫病法》，《泰国皇家公报》规定，自2023年5月8日起暂停从越南进口活家禽和家禽胴体，为期90天。</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52</w:t>
            </w:r>
          </w:p>
        </w:tc>
        <w:tc>
          <w:tcPr>
            <w:tcW w:w="12153" w:type="dxa"/>
            <w:vAlign w:val="center"/>
          </w:tcPr>
          <w:p>
            <w:pPr>
              <w:jc w:val="left"/>
              <w:rPr>
                <w:rFonts w:ascii="宋体" w:cs="宋体"/>
                <w:sz w:val="22"/>
                <w:szCs w:val="22"/>
              </w:rPr>
            </w:pPr>
            <w:r>
              <w:rPr>
                <w:rFonts w:hint="eastAsia"/>
                <w:color w:val="000000"/>
                <w:sz w:val="22"/>
                <w:szCs w:val="22"/>
              </w:rPr>
              <w:t>泰国畜牧发展部下令暂停从印度尼西亚进口活家禽和家禽胴体，以防止高致病性禽流感（H5N1亚型）的传播。根据2023年2月6日《政府公报》的公告，自2023年2月7日起暂停从印度尼西亚进口活家禽和家禽胴体的期限，已于2023年5月7日届满。但是，世界动物卫生组织报告称，高致病性禽流感（HPAI）是印度尼西亚的一种地方病。因此，泰国有必要防止高致病性禽流感（HPAI）疫情传入国内。根据2015年《动物疫病法》，《泰国皇家公报》规定，自2023年5月8日起暂停从印度尼西亚进口活家禽和家禽胴体，为期90天。</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53</w:t>
            </w:r>
          </w:p>
        </w:tc>
        <w:tc>
          <w:tcPr>
            <w:tcW w:w="12153" w:type="dxa"/>
            <w:vAlign w:val="center"/>
          </w:tcPr>
          <w:p>
            <w:pPr>
              <w:jc w:val="left"/>
              <w:rPr>
                <w:rFonts w:ascii="宋体" w:cs="宋体"/>
                <w:sz w:val="22"/>
                <w:szCs w:val="22"/>
              </w:rPr>
            </w:pPr>
            <w:r>
              <w:rPr>
                <w:rFonts w:hint="eastAsia"/>
                <w:color w:val="000000"/>
                <w:sz w:val="22"/>
                <w:szCs w:val="22"/>
              </w:rPr>
              <w:t>泰国畜牧发展部下令暂停从印度进口活家猪和野猪及其胴体，以防止非洲猪瘟的传播。根据2023年2月6日《政府公报》的公告，自2023年2月7日起暂停从印度进口活家猪和野猪及其胴体的期限，已于2023年5月7日届满。但是，世界动物卫生组织报告称，印度境内持续暴发非洲猪瘟疫情。因此，泰国有必要防止非洲猪瘟传入国内。根据2015年《动物疫病法》，《泰国皇家公报》发布公告规定，自2023年5月8日起，暂停从印度进口活家猪和野猪及其胴体，为期90天。</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坦桑尼亚</w:t>
            </w: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54</w:t>
            </w:r>
          </w:p>
        </w:tc>
        <w:tc>
          <w:tcPr>
            <w:tcW w:w="12153" w:type="dxa"/>
            <w:vAlign w:val="center"/>
          </w:tcPr>
          <w:p>
            <w:pPr>
              <w:jc w:val="left"/>
              <w:rPr>
                <w:color w:val="000000"/>
                <w:sz w:val="22"/>
                <w:szCs w:val="22"/>
              </w:rPr>
            </w:pPr>
            <w:r>
              <w:rPr>
                <w:rFonts w:hint="eastAsia"/>
                <w:color w:val="000000"/>
                <w:sz w:val="22"/>
                <w:szCs w:val="22"/>
              </w:rPr>
              <w:t>AFDC 19(1707)，生巴西坚果仁——规范。本坦桑尼亚标准规定了供人类直接食用的巴西坚果树（Bertholletia excelsa L.）生巴西坚果仁的要求、抽样和试验方法。</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55</w:t>
            </w:r>
          </w:p>
        </w:tc>
        <w:tc>
          <w:tcPr>
            <w:tcW w:w="12153" w:type="dxa"/>
            <w:vAlign w:val="center"/>
          </w:tcPr>
          <w:p>
            <w:pPr>
              <w:jc w:val="left"/>
              <w:rPr>
                <w:rFonts w:ascii="宋体" w:cs="宋体"/>
                <w:sz w:val="22"/>
                <w:szCs w:val="22"/>
              </w:rPr>
            </w:pPr>
            <w:r>
              <w:rPr>
                <w:rFonts w:hint="eastAsia"/>
                <w:color w:val="000000"/>
                <w:sz w:val="22"/>
                <w:szCs w:val="22"/>
              </w:rPr>
              <w:t>AFDC 9 (1687)，动物饲料用血粉——规范。本坦桑尼亚标准规定了动物饲料中作为蛋白质来源的血粉的要求、抽样和检测方法。</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56</w:t>
            </w:r>
          </w:p>
        </w:tc>
        <w:tc>
          <w:tcPr>
            <w:tcW w:w="12153" w:type="dxa"/>
            <w:vAlign w:val="center"/>
          </w:tcPr>
          <w:p>
            <w:pPr>
              <w:jc w:val="left"/>
              <w:rPr>
                <w:rFonts w:ascii="宋体" w:cs="宋体"/>
                <w:sz w:val="22"/>
                <w:szCs w:val="22"/>
              </w:rPr>
            </w:pPr>
            <w:r>
              <w:rPr>
                <w:rFonts w:hint="eastAsia"/>
                <w:color w:val="000000"/>
                <w:sz w:val="22"/>
                <w:szCs w:val="22"/>
              </w:rPr>
              <w:t>MEDC 9 (2040) DTZS/ SADC SARA HT 95: 2017，MEDC 9 (2040) CD2/ SADC SARA HT: 95: 2017——铁路安全管理——工程和运行标准的技术要求——铁路安全运行的运行原则，第一版，本标准涵盖了在铁路上安全运行的运行原则的最低要求。它包括要遵守的运行要求，以确保在所有运行情况下适当解决运行安全问题。列车运行标准或程序的制定、修订或撤销包括以下内容：a）收到请求；b）请求的初步评估；c）条件；d）排除标准；e）原则上批准；f）生命周期阶段。以下原则和相关方面适用于本标准中描述的生命周期的每个阶段：a）行为准则和相关方面；b）通信；c）预定列车或调车运行前的动作；d）列车或调车运行过程中的动作； e）铁路车辆静止时的安全性；f）非正常工作和降级模式。</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57</w:t>
            </w:r>
          </w:p>
        </w:tc>
        <w:tc>
          <w:tcPr>
            <w:tcW w:w="12153" w:type="dxa"/>
            <w:vAlign w:val="center"/>
          </w:tcPr>
          <w:p>
            <w:pPr>
              <w:jc w:val="left"/>
              <w:rPr>
                <w:rFonts w:ascii="宋体" w:cs="宋体"/>
                <w:sz w:val="22"/>
                <w:szCs w:val="22"/>
              </w:rPr>
            </w:pPr>
            <w:r>
              <w:rPr>
                <w:rFonts w:hint="eastAsia"/>
                <w:color w:val="000000"/>
                <w:sz w:val="22"/>
                <w:szCs w:val="22"/>
              </w:rPr>
              <w:t>AFDC 30 (1913)，豇豆（Vigna unguiculata (L.) Walpers）种子——认证要求。本坦桑尼亚标准规定了豇豆（Vigna unguiculata (L.) Walpers）原原种、原种和良种的认证要求。</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58</w:t>
            </w:r>
          </w:p>
        </w:tc>
        <w:tc>
          <w:tcPr>
            <w:tcW w:w="12153" w:type="dxa"/>
            <w:vAlign w:val="center"/>
          </w:tcPr>
          <w:p>
            <w:pPr>
              <w:jc w:val="center"/>
              <w:rPr>
                <w:rFonts w:ascii="宋体" w:cs="宋体"/>
                <w:sz w:val="22"/>
                <w:szCs w:val="22"/>
              </w:rPr>
            </w:pPr>
            <w:r>
              <w:rPr>
                <w:rFonts w:hint="eastAsia"/>
                <w:color w:val="000000"/>
                <w:sz w:val="22"/>
                <w:szCs w:val="22"/>
              </w:rPr>
              <w:t>AFDC 9 (1688)，猪饲料预混料——规范。本坦桑尼亚标准草案规定了用作动物饲料的猪饲料预混料的要求、取样和检测方法。</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59</w:t>
            </w:r>
          </w:p>
        </w:tc>
        <w:tc>
          <w:tcPr>
            <w:tcW w:w="12153" w:type="dxa"/>
            <w:vAlign w:val="center"/>
          </w:tcPr>
          <w:p>
            <w:pPr>
              <w:jc w:val="left"/>
              <w:rPr>
                <w:color w:val="000000"/>
                <w:sz w:val="22"/>
                <w:szCs w:val="22"/>
              </w:rPr>
            </w:pPr>
            <w:r>
              <w:rPr>
                <w:rFonts w:hint="eastAsia"/>
                <w:color w:val="000000"/>
                <w:sz w:val="22"/>
                <w:szCs w:val="22"/>
              </w:rPr>
              <w:t>AFDC 1(1867)，清真食品——一般要求。本坦桑尼亚标准规定了清真食品工业的一般要求。注：本标准草案不包含政府认证可能需要的有关相关食品的所有要求。可通过与坦桑尼亚主管当局的安排获取清真认证。</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60</w:t>
            </w:r>
          </w:p>
        </w:tc>
        <w:tc>
          <w:tcPr>
            <w:tcW w:w="12153" w:type="dxa"/>
            <w:vAlign w:val="center"/>
          </w:tcPr>
          <w:p>
            <w:pPr>
              <w:jc w:val="left"/>
              <w:rPr>
                <w:color w:val="000000"/>
                <w:sz w:val="22"/>
                <w:szCs w:val="22"/>
              </w:rPr>
            </w:pPr>
            <w:r>
              <w:rPr>
                <w:rFonts w:hint="eastAsia"/>
                <w:color w:val="000000"/>
                <w:sz w:val="22"/>
                <w:szCs w:val="22"/>
              </w:rPr>
              <w:t>MEDC 9 (2029) DTZS/ SADC SARA HT 89:2017，MEDC 9 (2029) CD2/ SADC SARA HT 89: 2017——铁路安全管理——总则，第一版。本SADC SARA标准描述了安全管理体系（SMS）的最低要素，以使RA能够制定安全管理体系，以管理其控制下的铁路安全运行，同时在资产生命周期阶段考虑以下各项：a）铁路运行的需求和能力；b）业务目标和价值主张；c）使业务得以开展的关键活动；d）资产基础及其相关的生命周期和维护计划；e）支持服务的作用。1.2 它还描述了需要对RA的安全管理体系进行更改的情况。1.3 本标准适用于相关国家铁路立法中定义的RA1.4 制定安全管理体系的出发点是第6条所述的风险管理流程。这一流程认识到，构成安全管理体系的要素的内容受到铁路运行的复杂性和性质的影响。</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61</w:t>
            </w:r>
          </w:p>
        </w:tc>
        <w:tc>
          <w:tcPr>
            <w:tcW w:w="12153" w:type="dxa"/>
            <w:vAlign w:val="center"/>
          </w:tcPr>
          <w:p>
            <w:pPr>
              <w:jc w:val="left"/>
              <w:rPr>
                <w:color w:val="000000"/>
                <w:sz w:val="22"/>
                <w:szCs w:val="22"/>
              </w:rPr>
            </w:pPr>
            <w:r>
              <w:rPr>
                <w:rFonts w:hint="eastAsia"/>
                <w:color w:val="000000"/>
                <w:sz w:val="22"/>
                <w:szCs w:val="22"/>
              </w:rPr>
              <w:t>AFDC 9 (1686)，磷酸钙——动物饲料级——规范。本坦桑尼亚标准规定了动物饲料中作为矿物补充剂的磷酸二氢钙（MCP）、单磷酸二钙（MDCP）、磷酸二钙（DCP）和磷酸三钙（TCP）的要求、抽样和试验方法。</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62</w:t>
            </w:r>
          </w:p>
        </w:tc>
        <w:tc>
          <w:tcPr>
            <w:tcW w:w="12153" w:type="dxa"/>
            <w:vAlign w:val="center"/>
          </w:tcPr>
          <w:p>
            <w:pPr>
              <w:jc w:val="left"/>
              <w:rPr>
                <w:color w:val="000000"/>
                <w:sz w:val="22"/>
                <w:szCs w:val="22"/>
              </w:rPr>
            </w:pPr>
            <w:r>
              <w:rPr>
                <w:rFonts w:hint="eastAsia"/>
                <w:color w:val="000000"/>
                <w:sz w:val="22"/>
                <w:szCs w:val="22"/>
              </w:rPr>
              <w:t>MEDC 9 (2036) DTZS/ SADC SARA HT 90: 2017，MEDC 9 (2036) CD2/ SADC SARA HT 90: 2017——铁路安全管理——工程和运行标准的技术要求——概述，第一版。1.1 本SADC SARA HT 90给出了构成符合SADC SARA HT 90区域安全政策的铁路安全管理体系一部分的工程和运行系统的通用技术要求。1.2 众所周知，可能需要为每个铁路应用考虑额外的或替代的事项和要求。对每项业务施加的风险水平决定了指南中每个要素的适用性。1.3 SADC SARA HT 90适用于现有、改造或预期的铁路运行。已经制定标准的现有铁路运行，通过实施这些标准，已经证明是安全的，被视为符合SADC SARA HT 90。</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63</w:t>
            </w:r>
          </w:p>
        </w:tc>
        <w:tc>
          <w:tcPr>
            <w:tcW w:w="12153" w:type="dxa"/>
            <w:vAlign w:val="center"/>
          </w:tcPr>
          <w:p>
            <w:pPr>
              <w:jc w:val="left"/>
              <w:rPr>
                <w:color w:val="000000"/>
                <w:sz w:val="22"/>
                <w:szCs w:val="22"/>
              </w:rPr>
            </w:pPr>
            <w:r>
              <w:rPr>
                <w:rFonts w:hint="eastAsia"/>
                <w:color w:val="000000"/>
                <w:sz w:val="22"/>
                <w:szCs w:val="22"/>
              </w:rPr>
              <w:t>AFDC 30 (1914)，木豆（Cajanus cajan (L.) Millsp）种子——认证要求。本坦桑尼亚标准规定了木豆（Cajanus cajan (L.) Millsp）原原种、原种和良种的认证要求。</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64</w:t>
            </w:r>
          </w:p>
        </w:tc>
        <w:tc>
          <w:tcPr>
            <w:tcW w:w="12153" w:type="dxa"/>
            <w:vAlign w:val="center"/>
          </w:tcPr>
          <w:p>
            <w:pPr>
              <w:jc w:val="left"/>
              <w:rPr>
                <w:color w:val="000000"/>
                <w:sz w:val="22"/>
                <w:szCs w:val="22"/>
              </w:rPr>
            </w:pPr>
            <w:r>
              <w:rPr>
                <w:rFonts w:hint="eastAsia"/>
                <w:color w:val="000000"/>
                <w:sz w:val="22"/>
                <w:szCs w:val="22"/>
              </w:rPr>
              <w:t>MEDC 9 (2037) CD2/ SADC SARA HT 92:2017，MEDC 9 (2037) CD2/ SADC SARA HT: 92: 2017——铁路安全管理——工程和运行标准的技术要求——铁路车辆</w:t>
            </w:r>
            <w:r>
              <w:rPr>
                <w:color w:val="000000"/>
                <w:sz w:val="22"/>
                <w:szCs w:val="22"/>
              </w:rPr>
              <w:t>（</w:t>
            </w:r>
            <w:r>
              <w:rPr>
                <w:rFonts w:hint="eastAsia"/>
                <w:color w:val="000000"/>
                <w:sz w:val="22"/>
                <w:szCs w:val="22"/>
              </w:rPr>
              <w:t>第一版</w:t>
            </w:r>
            <w:r>
              <w:rPr>
                <w:color w:val="000000"/>
                <w:sz w:val="22"/>
                <w:szCs w:val="22"/>
              </w:rPr>
              <w:t>）。</w:t>
            </w:r>
            <w:r>
              <w:rPr>
                <w:rFonts w:hint="eastAsia"/>
                <w:color w:val="000000"/>
                <w:sz w:val="22"/>
                <w:szCs w:val="22"/>
              </w:rPr>
              <w:t>本标准涵盖了铁路车辆的设计、建造/制造和实施、调试、监控和维护、改造、退役和处置的资产生命周期组成部分。</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65</w:t>
            </w:r>
          </w:p>
        </w:tc>
        <w:tc>
          <w:tcPr>
            <w:tcW w:w="12153" w:type="dxa"/>
            <w:vAlign w:val="center"/>
          </w:tcPr>
          <w:p>
            <w:pPr>
              <w:jc w:val="left"/>
              <w:rPr>
                <w:color w:val="000000"/>
                <w:sz w:val="22"/>
                <w:szCs w:val="22"/>
              </w:rPr>
            </w:pPr>
            <w:r>
              <w:rPr>
                <w:rFonts w:hint="eastAsia"/>
                <w:color w:val="000000"/>
                <w:sz w:val="22"/>
                <w:szCs w:val="22"/>
              </w:rPr>
              <w:t>AFDC 30 (1915)，班巴拉坚果（Vigna subterranea (L.) Verdc）种子——认证要求。本坦桑尼亚标准规定了班巴拉坚果（Vigna subterranea (L.) Verdc）原原种、原种和良种的认证要求。</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66</w:t>
            </w:r>
          </w:p>
        </w:tc>
        <w:tc>
          <w:tcPr>
            <w:tcW w:w="12153" w:type="dxa"/>
            <w:vAlign w:val="center"/>
          </w:tcPr>
          <w:p>
            <w:pPr>
              <w:jc w:val="left"/>
              <w:rPr>
                <w:color w:val="000000"/>
                <w:sz w:val="22"/>
                <w:szCs w:val="22"/>
              </w:rPr>
            </w:pPr>
            <w:r>
              <w:rPr>
                <w:rFonts w:hint="eastAsia"/>
                <w:color w:val="000000"/>
                <w:sz w:val="22"/>
                <w:szCs w:val="22"/>
              </w:rPr>
              <w:t>AFDC 19(1706)，扁桃仁粉——规范。本坦桑尼亚标准规定了从供人类食用的甜味扁桃品种（栽培变种）的甜扁桃仁得到的扁桃仁粉的要求、抽样和试验方法</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67</w:t>
            </w:r>
          </w:p>
        </w:tc>
        <w:tc>
          <w:tcPr>
            <w:tcW w:w="12153" w:type="dxa"/>
            <w:vAlign w:val="center"/>
          </w:tcPr>
          <w:p>
            <w:pPr>
              <w:jc w:val="left"/>
              <w:rPr>
                <w:color w:val="000000"/>
                <w:sz w:val="22"/>
                <w:szCs w:val="22"/>
              </w:rPr>
            </w:pPr>
            <w:r>
              <w:rPr>
                <w:rFonts w:hint="eastAsia"/>
                <w:color w:val="000000"/>
                <w:sz w:val="22"/>
                <w:szCs w:val="22"/>
              </w:rPr>
              <w:t>MEDC 02 (1901) DTZS，通信服务用钢塔——规范，第一版。本标准规定了通信行业用钢塔、支柱及其附件的设计、制造、安装、检查和维护作业的技术要求。它包括单极天线、屋顶支架/屋顶、自立式塔和拉线桅杆。本标准确保工作人员和设备在安装、操作、检查和维护期间的性能、可靠性、公共安全和安全性。本标准还考虑了当地运行环境的要求，以及实现基本符合适用国际最佳实践的必要性。</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68</w:t>
            </w:r>
          </w:p>
        </w:tc>
        <w:tc>
          <w:tcPr>
            <w:tcW w:w="12153" w:type="dxa"/>
            <w:vAlign w:val="center"/>
          </w:tcPr>
          <w:p>
            <w:pPr>
              <w:jc w:val="left"/>
              <w:rPr>
                <w:color w:val="000000"/>
                <w:sz w:val="22"/>
                <w:szCs w:val="22"/>
              </w:rPr>
            </w:pPr>
            <w:r>
              <w:rPr>
                <w:rFonts w:hint="eastAsia"/>
                <w:color w:val="000000"/>
                <w:sz w:val="22"/>
                <w:szCs w:val="22"/>
              </w:rPr>
              <w:t>AFDC 30 (1917)，甜橙（Citrus sinensis L.）种子——认证要求。本坦桑尼亚标准规定了甜橙（Citrus sinensis L.）原原种和良种的认证要求。包括对合格品种的要求、认证申请、田间、田间检验、种子取样、实验室检测、证书、包装、标签和事后控制图。</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69</w:t>
            </w:r>
          </w:p>
        </w:tc>
        <w:tc>
          <w:tcPr>
            <w:tcW w:w="12153" w:type="dxa"/>
            <w:vAlign w:val="center"/>
          </w:tcPr>
          <w:p>
            <w:pPr>
              <w:jc w:val="left"/>
              <w:rPr>
                <w:color w:val="000000"/>
                <w:sz w:val="22"/>
                <w:szCs w:val="22"/>
              </w:rPr>
            </w:pPr>
            <w:r>
              <w:rPr>
                <w:rFonts w:hint="eastAsia"/>
                <w:color w:val="000000"/>
                <w:sz w:val="22"/>
                <w:szCs w:val="22"/>
              </w:rPr>
              <w:t>AFDC 19(1716)，生榛子仁和烤榛子仁——规范</w:t>
            </w:r>
            <w:r>
              <w:rPr>
                <w:color w:val="000000"/>
                <w:sz w:val="22"/>
                <w:szCs w:val="22"/>
              </w:rPr>
              <w:t>。</w:t>
            </w:r>
            <w:r>
              <w:rPr>
                <w:rFonts w:hint="eastAsia"/>
                <w:color w:val="000000"/>
                <w:sz w:val="22"/>
                <w:szCs w:val="22"/>
              </w:rPr>
              <w:t>本坦桑尼亚标准规定了供人类食用的榛子（Corylus avellana L.）生榛子仁和烤榛子仁的要求、抽样和试验方法。</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70</w:t>
            </w:r>
          </w:p>
        </w:tc>
        <w:tc>
          <w:tcPr>
            <w:tcW w:w="12153" w:type="dxa"/>
            <w:vAlign w:val="center"/>
          </w:tcPr>
          <w:p>
            <w:pPr>
              <w:jc w:val="left"/>
              <w:rPr>
                <w:color w:val="000000"/>
                <w:sz w:val="22"/>
                <w:szCs w:val="22"/>
              </w:rPr>
            </w:pPr>
            <w:r>
              <w:rPr>
                <w:rFonts w:hint="eastAsia"/>
                <w:color w:val="000000"/>
                <w:sz w:val="22"/>
                <w:szCs w:val="22"/>
              </w:rPr>
              <w:t>MEDC 02 (1932) DTZS，石笼和护坡垫——规范</w:t>
            </w:r>
            <w:r>
              <w:rPr>
                <w:color w:val="000000"/>
                <w:sz w:val="22"/>
                <w:szCs w:val="22"/>
              </w:rPr>
              <w:t>（</w:t>
            </w:r>
            <w:r>
              <w:rPr>
                <w:rFonts w:hint="eastAsia"/>
                <w:color w:val="000000"/>
                <w:sz w:val="22"/>
                <w:szCs w:val="22"/>
              </w:rPr>
              <w:t>第一版</w:t>
            </w:r>
            <w:r>
              <w:rPr>
                <w:color w:val="000000"/>
                <w:sz w:val="22"/>
                <w:szCs w:val="22"/>
              </w:rPr>
              <w:t>）</w:t>
            </w:r>
            <w:r>
              <w:rPr>
                <w:rFonts w:hint="eastAsia"/>
                <w:color w:val="000000"/>
                <w:sz w:val="22"/>
                <w:szCs w:val="22"/>
              </w:rPr>
              <w:t>。本坦桑尼亚标准规定了石笼和护坡垫的材料、尺寸、施工和测试。它还规定了用于生产石笼和护坡垫的金属涂层钢丝的特性。本标准涵盖了由双绞合金属涂层钢丝网制成的石笼和护坡垫，以及用于制造、组装和安装此类产品的拉筋、加强筋和紧固件的金属涂层钢丝。这些规范还涵盖了石笼和护坡垫，其中钢丝网、拉筋和加强筋在金属涂层后涂有聚氯乙烯（PVC）涂层。</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71</w:t>
            </w:r>
          </w:p>
        </w:tc>
        <w:tc>
          <w:tcPr>
            <w:tcW w:w="12153" w:type="dxa"/>
            <w:vAlign w:val="center"/>
          </w:tcPr>
          <w:p>
            <w:pPr>
              <w:jc w:val="left"/>
              <w:rPr>
                <w:color w:val="000000"/>
                <w:sz w:val="22"/>
                <w:szCs w:val="22"/>
              </w:rPr>
            </w:pPr>
            <w:r>
              <w:rPr>
                <w:rFonts w:hint="eastAsia"/>
                <w:color w:val="000000"/>
                <w:sz w:val="22"/>
                <w:szCs w:val="22"/>
              </w:rPr>
              <w:t>AFDC 19(1707)《生巴西坚果仁——规范》。本坦桑尼亚标准规定了供人类直接食用的巴西坚果树（Bertholletia excelsa L.）生巴西坚果仁的要求、抽样和检测方法。  </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72</w:t>
            </w:r>
          </w:p>
        </w:tc>
        <w:tc>
          <w:tcPr>
            <w:tcW w:w="12153" w:type="dxa"/>
            <w:vAlign w:val="center"/>
          </w:tcPr>
          <w:p>
            <w:pPr>
              <w:jc w:val="left"/>
              <w:rPr>
                <w:color w:val="000000"/>
                <w:sz w:val="22"/>
                <w:szCs w:val="22"/>
              </w:rPr>
            </w:pPr>
            <w:r>
              <w:rPr>
                <w:rFonts w:hint="eastAsia"/>
                <w:color w:val="000000"/>
                <w:sz w:val="22"/>
                <w:szCs w:val="22"/>
              </w:rPr>
              <w:t>AFDC 1 (1867)《清真食品——一般要求》。本坦桑尼亚标准规定了清真食品工业的一般要求。注：本标准草案不包含可能需要政府认证的相关食品的所有要求。可通过与坦桑尼亚主管当局的安排获取清真认证。  </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73</w:t>
            </w:r>
          </w:p>
        </w:tc>
        <w:tc>
          <w:tcPr>
            <w:tcW w:w="12153" w:type="dxa"/>
            <w:vAlign w:val="center"/>
          </w:tcPr>
          <w:p>
            <w:pPr>
              <w:jc w:val="left"/>
              <w:rPr>
                <w:color w:val="000000"/>
                <w:sz w:val="22"/>
                <w:szCs w:val="22"/>
              </w:rPr>
            </w:pPr>
            <w:r>
              <w:rPr>
                <w:rFonts w:hint="eastAsia"/>
                <w:color w:val="000000"/>
                <w:sz w:val="22"/>
                <w:szCs w:val="22"/>
              </w:rPr>
              <w:t>AFDC 19(1716)《生榛子仁和烤榛子仁——规范》。本坦桑尼亚标准规定了供人类食用的榛子（Corylus avellana L.）生榛子仁和烤榛子仁的要求、抽样和检测方法。</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乌克兰</w:t>
            </w: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74</w:t>
            </w:r>
          </w:p>
        </w:tc>
        <w:tc>
          <w:tcPr>
            <w:tcW w:w="12153" w:type="dxa"/>
            <w:vAlign w:val="center"/>
          </w:tcPr>
          <w:p>
            <w:pPr>
              <w:jc w:val="left"/>
              <w:rPr>
                <w:color w:val="000000"/>
                <w:sz w:val="22"/>
                <w:szCs w:val="22"/>
              </w:rPr>
            </w:pPr>
            <w:r>
              <w:rPr>
                <w:rFonts w:hint="eastAsia"/>
                <w:color w:val="000000"/>
                <w:sz w:val="22"/>
                <w:szCs w:val="22"/>
              </w:rPr>
              <w:t>乌克兰内阁“批准塑料袋标签程序”的决议草案，决议草案对经济实体的某些义务做出了规定，特别是：对于可生物降解塑料袋生产商：确保符合通过堆肥或可生物降解循环利用的既定标准；测试可生物降解塑料袋的产品范围；适当存储技术信息。对于可生物降解塑料袋进口商：将符合既定堆肥或生物降解循环利用标准并贴有标签的可生物降解塑料袋投入流通。对于可生物降解塑料袋分销商：验证符合通过堆肥或生物降解循环利用的既定标准佛如可生物降解塑料袋的标签。</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75</w:t>
            </w:r>
          </w:p>
        </w:tc>
        <w:tc>
          <w:tcPr>
            <w:tcW w:w="12153" w:type="dxa"/>
            <w:vAlign w:val="center"/>
          </w:tcPr>
          <w:p>
            <w:pPr>
              <w:jc w:val="left"/>
              <w:rPr>
                <w:color w:val="000000"/>
                <w:sz w:val="22"/>
                <w:szCs w:val="22"/>
              </w:rPr>
            </w:pPr>
            <w:r>
              <w:rPr>
                <w:rFonts w:hint="eastAsia"/>
                <w:color w:val="000000"/>
                <w:sz w:val="22"/>
                <w:szCs w:val="22"/>
              </w:rPr>
              <w:t>乌克兰《葡萄和葡萄栽培产品法》草案，法律草案规定：·术语和定义、葡萄品种分类、葡萄栽培和酿酒产品生产要求、风味葡萄酒产品的生产要求以及一些酿酒实践和限制与欧盟国家要求相符；引入与欧盟现行法规类似的有关具有地理标志的葡萄酒、葡萄栽培和酿酒产品以及风味葡萄酒产品的生产和流通要求；确定乌克兰地理标志的保护机制；根据欧洲立法的类别引入新的术语和定义；建立全国统一的“葡萄栽培和酿酒登记册”信息系统；可为葡萄栽培和酿酒提供国家支持；实施葡萄酒产品的标签和展示法规；制定葡萄酒产品从葡萄园到最终产品的生产检查原则，确定控制机构及其权力，明确规定对违反法律规定的行为的处罚。本法律草案也将根据《SPS协定》的规定进行通报。</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76</w:t>
            </w:r>
          </w:p>
        </w:tc>
        <w:tc>
          <w:tcPr>
            <w:tcW w:w="12153" w:type="dxa"/>
            <w:vAlign w:val="center"/>
          </w:tcPr>
          <w:p>
            <w:pPr>
              <w:jc w:val="left"/>
              <w:rPr>
                <w:color w:val="000000"/>
                <w:sz w:val="22"/>
                <w:szCs w:val="22"/>
              </w:rPr>
            </w:pPr>
            <w:r>
              <w:rPr>
                <w:rFonts w:hint="eastAsia"/>
                <w:color w:val="000000"/>
                <w:sz w:val="22"/>
                <w:szCs w:val="22"/>
              </w:rPr>
              <w:t>乌克兰《生物安全和生物保护法》草案。制定该法律草案的目的是在“单一健康”原则的基础上逐步建立统一的生物安全和生物保护制度，来履行保护人类和动物的生命和健康的义务，防止有害的传染病在国内传播，并及时应对传染病的暴发。该法律草案界定了乌克兰生物安全和生物保护的法律、组织、经济和社会原则，特别是：对定义采用新的概念框架，尤其是生物安全；生物合成活动；生物危害；生物保护；生物风险；生物毒素；生物制剂；微生物保存；微生物菌株保存；对从事生物剂和生物合成活动的实体进行国家登记；从事生物制剂流通的实体；从事生物合成活动的实体；确定生物安全和生物保护领域的授权机构、生物安全和生物保护领域的法律关系主体。该法律草案提出了一系列措施，旨在确保保护人类、动物、植物和环境免受有害生物因素的危害，检测并尽量减少生物威胁，评估并有效管理生物风险。</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77</w:t>
            </w:r>
          </w:p>
        </w:tc>
        <w:tc>
          <w:tcPr>
            <w:tcW w:w="12153" w:type="dxa"/>
            <w:vAlign w:val="center"/>
          </w:tcPr>
          <w:p>
            <w:pPr>
              <w:jc w:val="left"/>
              <w:rPr>
                <w:color w:val="000000"/>
                <w:sz w:val="22"/>
                <w:szCs w:val="22"/>
              </w:rPr>
            </w:pPr>
            <w:r>
              <w:rPr>
                <w:rFonts w:hint="eastAsia"/>
                <w:color w:val="000000"/>
                <w:sz w:val="22"/>
                <w:szCs w:val="22"/>
              </w:rPr>
              <w:t>乌克兰《啤酒花和啤酒花产品法》草案，该法规定了啤酒花和啤酒花产品市场运营的法律和组织框架、生产、加工、贴标和认证要求，以及国家当局的管辖权、啤酒花行业企业实体的权利和义务、该部门的国家政策方向和国家管控。特别是，该法律草案规定了啤酒花行业的监管，这将确保：使啤酒花和啤酒花产品的术语符合欧盟立法；制定必要的法规，以确定啤酒花和啤酒花产品的认证规则及其质量指标；制定实施啤酒花标签规则所需的法规，规定啤酒花产品包装中包含的信息要求；规定有义务提供合格评定和等效性声明，作为证明从第三国进口的啤酒花和啤酒花产品符合欧盟要求的文件；制定从啤酒花茎到成品的生产检查原则，明确控制机构及其权限，规定对违法行为的处罚。该法律草案也将根据《SPS协定》进行通报。</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78</w:t>
            </w:r>
          </w:p>
        </w:tc>
        <w:tc>
          <w:tcPr>
            <w:tcW w:w="12153" w:type="dxa"/>
            <w:vAlign w:val="center"/>
          </w:tcPr>
          <w:p>
            <w:pPr>
              <w:jc w:val="left"/>
              <w:rPr>
                <w:color w:val="000000"/>
                <w:sz w:val="22"/>
                <w:szCs w:val="22"/>
              </w:rPr>
            </w:pPr>
            <w:r>
              <w:rPr>
                <w:rFonts w:hint="eastAsia"/>
                <w:color w:val="000000"/>
                <w:sz w:val="22"/>
                <w:szCs w:val="22"/>
              </w:rPr>
              <w:t>乌克兰农业政策和食品部“关于批准家禽孵化蛋和雏鸡要求”的命令草案</w:t>
            </w:r>
            <w:r>
              <w:rPr>
                <w:color w:val="000000"/>
                <w:sz w:val="22"/>
                <w:szCs w:val="22"/>
              </w:rPr>
              <w:t>。</w:t>
            </w:r>
            <w:r>
              <w:rPr>
                <w:rFonts w:hint="eastAsia"/>
                <w:color w:val="000000"/>
                <w:sz w:val="22"/>
                <w:szCs w:val="22"/>
              </w:rPr>
              <w:t> 该命令草案旨在批准家禽孵化蛋和雏鸡在以下方面的要求：- 孵化蛋的冲压和使用；-孵化蛋的包装以及雏鸡的包装盒/纸箱；- 孵化蛋的包装和容器以及雏鸡的包装盒/纸箱的标签；- 孵化场经营商应保存的记录。进口（送抵）到乌克兰关税区的家禽孵化蛋和雏鸡必须符合以下要求：本要求第二节第1章第3款中规定的要求（如果将孵化蛋进口（送抵）到乌克兰关税区）、2018年11月16日乌克兰农业政策和食品部第553号令批准的将活体动物及其生殖材料进口（送抵）到乌克兰关税区的要求（通报号为G/SPS/N/UKR/111/Add.1）或出口国的同等要求。该命令草案还规定，在本命令生效前已投入流通的家禽孵化蛋和雏鸡，不得因其不符合本命令批准的全部或部分要求而被禁止或限制投放市场。为执行欧盟立法，制定了本命令草案。该命令草案也将根据《SPS协定》进行通报。</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79</w:t>
            </w:r>
          </w:p>
        </w:tc>
        <w:tc>
          <w:tcPr>
            <w:tcW w:w="12153" w:type="dxa"/>
            <w:vAlign w:val="center"/>
          </w:tcPr>
          <w:p>
            <w:pPr>
              <w:jc w:val="left"/>
              <w:rPr>
                <w:color w:val="000000"/>
                <w:sz w:val="22"/>
                <w:szCs w:val="22"/>
              </w:rPr>
            </w:pPr>
            <w:r>
              <w:rPr>
                <w:rFonts w:hint="eastAsia"/>
                <w:color w:val="000000"/>
                <w:sz w:val="22"/>
                <w:szCs w:val="22"/>
              </w:rPr>
              <w:t>乌克兰内阁关于批准《国家消毒剂注册条例》的决议草案，根据乌克兰《公共卫生系统法》第48条第1部分，只有经国家注册后，才允许使用和销售消毒剂。禁止使用和销售未注册的产品。乌克兰内阁批准了《国家消毒剂注册条例》。《国家消毒剂注册条例》草案确定了消毒剂国家注册和重新注册的流程，包括对国家注册申请、注册申报文件和提交国家注册的其他文件的要求、国家注册所需的研究（试验）、消毒剂的简要说明、传单（使用说明）、标签、专家结论、条件变更、暂停、取消消毒剂国家注册、维持消毒剂国家注册的格式和程序。该草案还指出，国家注册和重新注册须是其活性物质符合医疗和卫生标准的产品，以及用于以下目的的产品：对传染病区、医疗保健设施、学前教育机构进行消毒；对医疗保健人员的手部进行消毒；对住宅、工业园区、教育、卫生和其他场所、建筑物和构筑物、车辆、公共餐饮和贸易区、定居点区域、大规模娱乐和休闲区进行预防性消毒；工业消毒；对家庭和工业行业进行带有消毒性质的清洗和清洁；对室内空气、水（饮用水除外）、工业和生活废水进行消毒；销毁传染病媒介（杀虫剂）；销毁人类工作场所的人畜共患性昆虫；驱虫；销毁病原体传染病来源和携带者的啮齿动物；对从事食品和加工业、餐饮和贸易的人员的手部皮肤进行消毒。</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80</w:t>
            </w:r>
          </w:p>
        </w:tc>
        <w:tc>
          <w:tcPr>
            <w:tcW w:w="12153" w:type="dxa"/>
            <w:vAlign w:val="center"/>
          </w:tcPr>
          <w:p>
            <w:pPr>
              <w:jc w:val="left"/>
              <w:rPr>
                <w:color w:val="000000"/>
                <w:sz w:val="22"/>
                <w:szCs w:val="22"/>
              </w:rPr>
            </w:pPr>
            <w:r>
              <w:rPr>
                <w:rFonts w:hint="eastAsia"/>
                <w:color w:val="000000"/>
                <w:sz w:val="22"/>
                <w:szCs w:val="22"/>
              </w:rPr>
              <w:t>乌克兰卫生部“关于批准经电离辐射处理的食品和食品成分的要求”的法令草案。该法令草案的通过将使乌克兰有关食品安全和质量的立法与欧盟立法保持一致，并将促进欧洲议会和欧盟理事会1999年2月22日关于成员国有关电离辐射处理的食品和食品成分的法律的第1999/2/EC号指令以及欧洲议会和欧盟理事会1999年2月22日关于建立经电离辐射处理的食品和食品成分的共同体清单的第1999/3/EC号指令的实施。鉴于存在关于用电离辐射处理的食品标签细节的规定，该法令草案也根据《技术贸易壁垒协定》的要求进行了通报。</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新西兰</w:t>
            </w: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81</w:t>
            </w:r>
          </w:p>
        </w:tc>
        <w:tc>
          <w:tcPr>
            <w:tcW w:w="12153" w:type="dxa"/>
            <w:vAlign w:val="center"/>
          </w:tcPr>
          <w:p>
            <w:pPr>
              <w:jc w:val="left"/>
              <w:rPr>
                <w:color w:val="000000"/>
                <w:sz w:val="22"/>
                <w:szCs w:val="22"/>
              </w:rPr>
            </w:pPr>
            <w:r>
              <w:rPr>
                <w:rFonts w:hint="eastAsia"/>
                <w:color w:val="000000"/>
                <w:sz w:val="22"/>
                <w:szCs w:val="22"/>
              </w:rPr>
              <w:t>P1028婴儿配方奶粉提案——第二次征求意见，P1028提案提议修订《澳大利亚—新西兰食品标准法典》（以下简称“法典”），以确保婴幼儿配方食品的安全性和适合度，同时还考虑了最新的科学证据、市场发展、国际监管环境的变化以及修订后的澳大利亚和新西兰政策指南。《法典》的拟提变更草案将修订婴幼儿配方食品法规。包括以下相关内容：- 重新起草标准2.9.1和附表29中的相关条款，以反映对婴幼儿配方食品（婴儿配方奶粉、断奶后配方奶粉和婴儿专用医疗产品（SMPPi））子类的不同要求；- 修订营养成分值；- 修订食品添加剂、杂质和加工助剂的许可；-增加SMPPi的定义，并对营养成分、销售限制和独立标签许可进行相关修订，以反映标准2.9.5-特殊医疗用途食品（FSMP）- 关于安全相关标签（包括使用和储存说明、警告声明和年龄相关声明）、信息提供（包括营养信息、段数标签和禁止代理广告）和SMPPi标签的修正案和新规定。- 澄清添加到婴幼儿配方食品中的新型食品的要求的修正案。拟议的过渡期为五年，包括库存产品。</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82</w:t>
            </w:r>
          </w:p>
        </w:tc>
        <w:tc>
          <w:tcPr>
            <w:tcW w:w="12153" w:type="dxa"/>
            <w:vAlign w:val="center"/>
          </w:tcPr>
          <w:p>
            <w:pPr>
              <w:jc w:val="left"/>
              <w:rPr>
                <w:color w:val="000000"/>
                <w:sz w:val="22"/>
                <w:szCs w:val="22"/>
              </w:rPr>
            </w:pPr>
            <w:r>
              <w:rPr>
                <w:rFonts w:hint="eastAsia"/>
                <w:color w:val="000000"/>
                <w:sz w:val="22"/>
                <w:szCs w:val="22"/>
              </w:rPr>
              <w:t xml:space="preserve">1、欧六（6/VI）咨询文件；2、陆路运输规则草案：2023年车辆废气排放修正案，新西兰政府提议对以下类别的车辆（进口到该国时）逐步实施新的排放标准：轻型车辆、重型车辆、摩托车/轻便摩托车和二手残疾人专用车。这些排放标准将在五年内分阶段实施。相关提案包括：从2024年2月1日起，将二手进口车的最低要求从欧四（4/IV）改为欧五（5/V），包括残疾人专用车；在2024年底至2028年初，分几阶段逐步将二手进口车和新车（包括新残疾人专用车）从欧五（5/V）转向欧六（6/VI）。为二手残疾车留出更多时间，最迟将从2028年1月1日起改为欧六（6/VI）。引入轻便摩托车和摩托车的排放要求。从2025年2月1日起要求符合欧四（4/IV），然后从2027年1月1日起要求符合欧五（5/V）。新西兰目前接受使用多个区域标准（欧洲、日本、美国和澳大利亚）和全球标准（联合国欧洲经济委员会（UNECE[1]））来证明排放水平。在可能实现大致等效的情况下，应继续采用这种方法。拟议的《修订规则》变更还包括对规则中过时和冗余信息的一些微小技术变更。 </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83</w:t>
            </w:r>
          </w:p>
        </w:tc>
        <w:tc>
          <w:tcPr>
            <w:tcW w:w="12153" w:type="dxa"/>
            <w:vAlign w:val="center"/>
          </w:tcPr>
          <w:p>
            <w:pPr>
              <w:jc w:val="left"/>
              <w:rPr>
                <w:color w:val="000000"/>
                <w:sz w:val="22"/>
                <w:szCs w:val="22"/>
              </w:rPr>
            </w:pPr>
            <w:r>
              <w:rPr>
                <w:rFonts w:hint="eastAsia"/>
                <w:color w:val="000000"/>
                <w:sz w:val="22"/>
                <w:szCs w:val="22"/>
              </w:rPr>
              <w:t>初级产业部标准152.02《新西兰进口新鲜水果蔬菜的进口与清关》。第172页和第173页以150戈瑞的最小吸收剂量对墨西哥鲜芒果上的实蝇科果蝇进行辐照。</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84</w:t>
            </w:r>
          </w:p>
        </w:tc>
        <w:tc>
          <w:tcPr>
            <w:tcW w:w="12153" w:type="dxa"/>
            <w:vAlign w:val="center"/>
          </w:tcPr>
          <w:p>
            <w:pPr>
              <w:jc w:val="left"/>
              <w:rPr>
                <w:color w:val="000000"/>
                <w:sz w:val="22"/>
                <w:szCs w:val="22"/>
              </w:rPr>
            </w:pPr>
            <w:r>
              <w:rPr>
                <w:rFonts w:hint="eastAsia"/>
                <w:color w:val="000000"/>
                <w:sz w:val="22"/>
                <w:szCs w:val="22"/>
              </w:rPr>
              <w:t>新鲜果蔬到新西兰的进口与清关。初级产业部提议对来自澳大利亚的各种新鲜水果和蔬菜商品增加新的植物检疫措施方案。这些措施包括对牛油果、黄瓜、梨、南瓜、灰胡桃、西葫芦和西瓜进行照射处理；对辣椒进行低剂量甲基溴熏蒸；以及对南瓜、灰胡桃和西葫芦进行“冬季窗口+田间防治”。初级产业部还提议允许在与南瓜相同的条件下从澳大利亚进口灰胡桃和西葫芦。</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英国</w:t>
            </w: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85</w:t>
            </w:r>
          </w:p>
        </w:tc>
        <w:tc>
          <w:tcPr>
            <w:tcW w:w="12153" w:type="dxa"/>
            <w:vAlign w:val="center"/>
          </w:tcPr>
          <w:p>
            <w:pPr>
              <w:jc w:val="left"/>
              <w:rPr>
                <w:color w:val="000000"/>
                <w:sz w:val="22"/>
                <w:szCs w:val="22"/>
              </w:rPr>
            </w:pPr>
            <w:r>
              <w:rPr>
                <w:rFonts w:hint="eastAsia"/>
                <w:color w:val="000000"/>
                <w:sz w:val="22"/>
                <w:szCs w:val="22"/>
              </w:rPr>
              <w:t>《2023年产品安全和电信基础设施（相关可连接产品的安全要求）条例》草案，《2023年产品安全和电信基础设施（相关可连接产品的安全要求）条例》草案对以G/TBT/N/GBR/44通报给TBT委员会的《2022年产品安全和电信基础设施法》第1部分进行了补充。条例草案规定了英国政府对向英国消费者提供的消费类可连接产品制造商的预期最低安全要求。条例草案还包括一份拟不受监管制度约束的产品清单。还规定了与合规声明有关的其他行政规定，这些规定需要与产品一起提供。</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86</w:t>
            </w:r>
          </w:p>
        </w:tc>
        <w:tc>
          <w:tcPr>
            <w:tcW w:w="12153" w:type="dxa"/>
            <w:vAlign w:val="center"/>
          </w:tcPr>
          <w:p>
            <w:pPr>
              <w:jc w:val="left"/>
              <w:rPr>
                <w:color w:val="000000"/>
                <w:sz w:val="22"/>
                <w:szCs w:val="22"/>
              </w:rPr>
            </w:pPr>
            <w:r>
              <w:rPr>
                <w:rFonts w:hint="eastAsia"/>
                <w:color w:val="000000"/>
                <w:sz w:val="22"/>
                <w:szCs w:val="22"/>
              </w:rPr>
              <w:t>修订了英国最大残留限量法定登记册的英国苯并烯氟菌唑的新最大残留限量。  苯并烯氟菌唑在英国是一种经批准的活性物质。健康与安全执行局收到了一份申请，要求为蓝莓和人参设定新的最大残留限量。评估后，引入了新的最大残留限量以设定进口容许量。支持新的最大残留限量的评估报告/合理意见可通过以下链接获得。本文件提供了新的最大残留限量的完整列表，请参见第5页：新的最大残留限量（hse.gov.uk）。从通报的用途食品中产生的残留量来看，消费者暴露量低于毒理学参考值，因此预计不会对人类健康产生有害影响。由于残留量超过了现行的最大残留限量，因此正在采用新的最大残留限量。  </w:t>
            </w:r>
          </w:p>
        </w:tc>
      </w:tr>
      <w:tr>
        <w:tc>
          <w:tcPr>
            <w:tcW w:w="1384" w:type="dxa"/>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智利</w:t>
            </w: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87</w:t>
            </w:r>
          </w:p>
        </w:tc>
        <w:tc>
          <w:tcPr>
            <w:tcW w:w="12153" w:type="dxa"/>
            <w:vAlign w:val="center"/>
          </w:tcPr>
          <w:p>
            <w:pPr>
              <w:jc w:val="left"/>
              <w:rPr>
                <w:color w:val="000000"/>
                <w:sz w:val="22"/>
                <w:szCs w:val="22"/>
              </w:rPr>
            </w:pPr>
            <w:r>
              <w:rPr>
                <w:rFonts w:hint="eastAsia"/>
                <w:color w:val="000000"/>
                <w:sz w:val="22"/>
                <w:szCs w:val="22"/>
              </w:rPr>
              <w:t>2022年第1.187号决议修正案批准了关于谷物种子植物检疫进口要求的决议的协调和合并文本。本通报文本对农畜局2022年第1.187号决议修订如下：第一条应改为：“以下将作为一项替代性附加声明：1.2.1：根据ISPM第8号“某一地区有害生物状况的确定”的准则，原产国不存在有害生物。为了遵守本附加声明，原产国应保存支持证据和有害生物记录，作为确定该国无有害生物状态的依据，同时考虑到农畜局可能要求这些记录。或者1.2.2：货物来自农畜局通过豁免决议（注明编号和年份）正式承认的非疫区。”第二条应改为：“任何经原产国NPPO认可和注册的用于控制小麦印度腥黑穗病菌的杀真菌剂产品均应被视为针对该有害生物的防治方法。2、本通报决议一经在《官方公报》上公布即为生效。更多详情见本通报所附文件。 </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印度尼西亚</w:t>
            </w: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88</w:t>
            </w:r>
          </w:p>
        </w:tc>
        <w:tc>
          <w:tcPr>
            <w:tcW w:w="12153" w:type="dxa"/>
            <w:vAlign w:val="center"/>
          </w:tcPr>
          <w:p>
            <w:pPr>
              <w:jc w:val="left"/>
              <w:rPr>
                <w:color w:val="000000"/>
                <w:sz w:val="22"/>
                <w:szCs w:val="22"/>
              </w:rPr>
            </w:pPr>
            <w:r>
              <w:rPr>
                <w:rFonts w:hint="eastAsia"/>
                <w:color w:val="000000"/>
                <w:sz w:val="22"/>
                <w:szCs w:val="22"/>
              </w:rPr>
              <w:t>印度尼西亚食品药品监督管理局局长2022年第246号法令——印度尼西亚境内限制进口的药品和食品材料以及印度尼西亚境内以传统药品材料、准药品材料、化妆品材料和食品材料形式进口的供中小型企业使用的药品和食品清单本法令是印度尼西亚食品药品监督管理局2022年第27号法规——《关于印度尼西亚境内进口药品和食品材料的监管》的执行法规。印度尼西亚境内限制进口的药品和食品材料以及印度尼西亚境内以传统药品材料、准药品材料、化妆品材料和食品材料形式进口的供中小型企业使用的药品和食品清单遵照协调制度（HS）编码。印度尼西亚食品药品监督管理局通过边境进口通知函和边境进口后通知函计划对此类药品和食品材料的进口进行监督。该法令还允许通过边境进口后通知函计划进口丙二醇、聚乙二醇和其他制药级溶剂，如丁二醇和氢化淀粉水解物。</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89</w:t>
            </w:r>
          </w:p>
        </w:tc>
        <w:tc>
          <w:tcPr>
            <w:tcW w:w="12153" w:type="dxa"/>
            <w:vAlign w:val="center"/>
          </w:tcPr>
          <w:p>
            <w:pPr>
              <w:jc w:val="left"/>
              <w:rPr>
                <w:color w:val="000000"/>
                <w:sz w:val="22"/>
                <w:szCs w:val="22"/>
              </w:rPr>
            </w:pPr>
            <w:r>
              <w:rPr>
                <w:rFonts w:hint="eastAsia"/>
                <w:color w:val="000000"/>
                <w:sz w:val="22"/>
                <w:szCs w:val="22"/>
              </w:rPr>
              <w:t>对印度尼西亚食品药品监督管理局2017年第30号关于印尼境内进口药品和食品的监管法规的修订。对本法规作出变更的新规定包括：满足印度尼西亚政府对进口药品需求的额外申请人。进入经济特区的药品的附加进口通知函规定。拟用于捐赠的药品的保质期（即在到期日前两年）的修订。对报告经营者实施进口的规定的修订。对个人用药品和食品的入境规定的修订。在印度尼西亚食品药品监督管理局的监督下，将几种药物添加到药物附件清单中。</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90</w:t>
            </w:r>
          </w:p>
        </w:tc>
        <w:tc>
          <w:tcPr>
            <w:tcW w:w="12153" w:type="dxa"/>
            <w:vAlign w:val="center"/>
          </w:tcPr>
          <w:p>
            <w:pPr>
              <w:jc w:val="left"/>
              <w:rPr>
                <w:color w:val="000000"/>
                <w:sz w:val="22"/>
                <w:szCs w:val="22"/>
              </w:rPr>
            </w:pPr>
            <w:r>
              <w:rPr>
                <w:rFonts w:hint="eastAsia"/>
                <w:color w:val="000000"/>
                <w:sz w:val="22"/>
                <w:szCs w:val="22"/>
              </w:rPr>
              <w:t>印度尼西亚食品药品监督管理局局长2022年第247号法令——印度尼西亚境内限制进口的药品和食品清单，本法令是印度尼西亚食品药品监督管理局2022年第27号法规——《关于印度尼西亚境内进口药品和食品的监管》的执行法规。印度尼西亚食品药品监督管理局通过边境进口通知函和边境进口后通知函计划对印度尼西亚境内限制进口的药品和食品清单进行监督。</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印度</w:t>
            </w: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91</w:t>
            </w:r>
          </w:p>
        </w:tc>
        <w:tc>
          <w:tcPr>
            <w:tcW w:w="12153" w:type="dxa"/>
            <w:vAlign w:val="center"/>
          </w:tcPr>
          <w:p>
            <w:pPr>
              <w:jc w:val="left"/>
              <w:rPr>
                <w:color w:val="000000"/>
                <w:sz w:val="22"/>
                <w:szCs w:val="22"/>
              </w:rPr>
            </w:pPr>
            <w:r>
              <w:rPr>
                <w:rFonts w:hint="eastAsia"/>
                <w:color w:val="000000"/>
                <w:sz w:val="22"/>
                <w:szCs w:val="22"/>
              </w:rPr>
              <w:t>烹饪用具和家庭厨房用具（质量控制）令，2023年，不锈钢烹饪用具：由不锈钢制成的家庭厨房用具，用于烹饪、上菜和储存食物。包括烹调用具、上菜用具、餐桌用具和储物用具。锻铝家庭厨房用具：任何由锻铝或其合金制成的家庭厨房用具，可用于烹饪、烘焙、上菜或储存固体/半固体/液体食品、水和家居用品。家用不锈钢水槽：一种家用的坐式或嵌入式不锈钢水槽。用于食品和饮料的圆形开顶卫生罐：一种由马口铁板制成的刚性金属容器，可密封，用于包装水果、蔬菜和乳制品、配制饮料、肉类和鱼类制品等热加工和非热加工食品和饮料。饮料用铝罐：容量达500ml的一次性容器，用于包装啤酒和碳酸饮料。</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92</w:t>
            </w:r>
          </w:p>
        </w:tc>
        <w:tc>
          <w:tcPr>
            <w:tcW w:w="12153" w:type="dxa"/>
            <w:vAlign w:val="center"/>
          </w:tcPr>
          <w:p>
            <w:pPr>
              <w:jc w:val="left"/>
              <w:rPr>
                <w:color w:val="000000"/>
                <w:sz w:val="22"/>
                <w:szCs w:val="22"/>
              </w:rPr>
            </w:pPr>
            <w:r>
              <w:rPr>
                <w:rFonts w:hint="eastAsia"/>
                <w:color w:val="000000"/>
                <w:sz w:val="22"/>
                <w:szCs w:val="22"/>
              </w:rPr>
              <w:t>使用管道天然气的家用燃气灶（质量控制）令，2023年，燃气灶是一种以液化石油气、天然气或其他易燃气体等可燃气体为燃料的灶具。使用管道天然气的家用燃气灶是一种使用管道天然气（PNG）等易燃气体为其提供动力的灶具。</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93</w:t>
            </w:r>
          </w:p>
        </w:tc>
        <w:tc>
          <w:tcPr>
            <w:tcW w:w="12153" w:type="dxa"/>
            <w:vAlign w:val="center"/>
          </w:tcPr>
          <w:p>
            <w:pPr>
              <w:jc w:val="left"/>
              <w:rPr>
                <w:color w:val="000000"/>
                <w:sz w:val="22"/>
                <w:szCs w:val="22"/>
              </w:rPr>
            </w:pPr>
            <w:r>
              <w:rPr>
                <w:rFonts w:hint="eastAsia"/>
                <w:color w:val="000000"/>
                <w:sz w:val="22"/>
                <w:szCs w:val="22"/>
              </w:rPr>
              <w:t>灭火器（质量控制）令，2023年灭火器（质量控制）令，2023年。灭火器是一种在紧急情况下扑灭或控制火灾的消防设备。典型的灭火器由装有灭火剂的手持式圆柱形压力容器组成。使用手提式灭火器是面对火灾的第一反应，以控制火势。</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94</w:t>
            </w:r>
          </w:p>
        </w:tc>
        <w:tc>
          <w:tcPr>
            <w:tcW w:w="12153" w:type="dxa"/>
            <w:vAlign w:val="center"/>
          </w:tcPr>
          <w:p>
            <w:pPr>
              <w:jc w:val="left"/>
              <w:rPr>
                <w:color w:val="000000"/>
                <w:sz w:val="22"/>
                <w:szCs w:val="22"/>
              </w:rPr>
            </w:pPr>
            <w:r>
              <w:rPr>
                <w:rFonts w:hint="eastAsia"/>
                <w:color w:val="000000"/>
                <w:sz w:val="22"/>
                <w:szCs w:val="22"/>
              </w:rPr>
              <w:t>铸铁制品（质量控制）令，2023年，考虑中的铸铁制品包括人孔盖、铸铁管、可锻铸铁配件和灰铁铸件。铸铁，一种铁合金，含有2%至4%的碳、不同量的硅（高达3%）和锰以及微量杂质，如硫和磷。铸铁因其熔融时能铸造成复杂形状且成本低而备受青睐。由于其抗压强度、优异的减振性、耐腐蚀性、耐磨性和易加工性，是优于钢的最佳选择。不同类型的铸铁采用不同的工艺和热处理技术进行生产。</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95</w:t>
            </w:r>
          </w:p>
        </w:tc>
        <w:tc>
          <w:tcPr>
            <w:tcW w:w="12153" w:type="dxa"/>
            <w:vAlign w:val="center"/>
          </w:tcPr>
          <w:p>
            <w:pPr>
              <w:jc w:val="left"/>
              <w:rPr>
                <w:color w:val="000000"/>
                <w:sz w:val="22"/>
                <w:szCs w:val="22"/>
              </w:rPr>
            </w:pPr>
            <w:r>
              <w:rPr>
                <w:rFonts w:hint="eastAsia"/>
                <w:color w:val="000000"/>
                <w:sz w:val="22"/>
                <w:szCs w:val="22"/>
              </w:rPr>
              <w:t>铜制品（质量控制）令，2023年，铜制品系指以下形式的任意等级、尺寸和厚度的任何半加工、加工或成品铜或铜合金产品：棒材、条材、带材、管材、管道、电线、绞线、绳索和电缆。</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96</w:t>
            </w:r>
          </w:p>
        </w:tc>
        <w:tc>
          <w:tcPr>
            <w:tcW w:w="12153" w:type="dxa"/>
            <w:vAlign w:val="center"/>
          </w:tcPr>
          <w:p>
            <w:pPr>
              <w:jc w:val="left"/>
              <w:rPr>
                <w:color w:val="000000"/>
                <w:sz w:val="22"/>
                <w:szCs w:val="22"/>
              </w:rPr>
            </w:pPr>
            <w:r>
              <w:rPr>
                <w:rFonts w:hint="eastAsia"/>
                <w:color w:val="000000"/>
                <w:sz w:val="22"/>
                <w:szCs w:val="22"/>
              </w:rPr>
              <w:t>人造板（质量控制）令，2023年。木质人造板用于家具生产和室内装饰。木质人造板是由木材颗粒和/或其他木质纤维素材料通过树脂粘合剂粘合在一起的复合板。因此，与只有一个纹理方向的天然木材相比，颗粒的纹理是非定向的。应成包放在水平平坦的表面上，储存在清洁、干燥、有遮盖，空气能自由循环的地方。人造板应防雨、防潮、防虫、防真菌侵袭。</w:t>
            </w:r>
          </w:p>
        </w:tc>
      </w:tr>
      <w:tr>
        <w:tc>
          <w:tcPr>
            <w:tcW w:w="1384" w:type="dxa"/>
            <w:vMerge/>
            <w:vAlign w:val="center"/>
          </w:tcP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97</w:t>
            </w:r>
          </w:p>
        </w:tc>
        <w:tc>
          <w:tcPr>
            <w:tcW w:w="12153" w:type="dxa"/>
            <w:vAlign w:val="center"/>
          </w:tcPr>
          <w:p>
            <w:pPr>
              <w:jc w:val="left"/>
              <w:rPr>
                <w:color w:val="000000"/>
                <w:sz w:val="22"/>
                <w:szCs w:val="22"/>
              </w:rPr>
            </w:pPr>
            <w:r>
              <w:rPr>
                <w:rFonts w:hint="eastAsia"/>
                <w:color w:val="000000"/>
                <w:sz w:val="22"/>
                <w:szCs w:val="22"/>
              </w:rPr>
              <w:t>药芯焊丝（质量控制）令，2023年。药芯焊丝是一种特殊类型的焊丝，其药芯在焊丝中心。焊丝内部的焊剂浓度通常为2%至3%（按重量计）。广泛应用于电子元器件、汽车、通讯及各种工程行业的焊接。</w:t>
            </w:r>
          </w:p>
        </w:tc>
      </w:tr>
      <w:tr>
        <w:tc>
          <w:tcPr>
            <w:tcW w:w="1384" w:type="dxa"/>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沙特阿拉伯</w:t>
            </w:r>
          </w:p>
        </w:tc>
        <w:tc>
          <w:tcPr>
            <w:tcW w:w="63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98</w:t>
            </w:r>
          </w:p>
        </w:tc>
        <w:tc>
          <w:tcPr>
            <w:tcW w:w="12153" w:type="dxa"/>
            <w:vAlign w:val="center"/>
          </w:tcPr>
          <w:p>
            <w:pPr>
              <w:jc w:val="left"/>
              <w:rPr>
                <w:color w:val="000000"/>
                <w:sz w:val="22"/>
                <w:szCs w:val="22"/>
              </w:rPr>
            </w:pPr>
            <w:r>
              <w:rPr>
                <w:rFonts w:hint="eastAsia"/>
                <w:color w:val="000000"/>
                <w:sz w:val="22"/>
                <w:szCs w:val="22"/>
              </w:rPr>
              <w:t>沙特食品和药物管理局于2023年4月12日发布的第23852号管理令通知，标题为“暂时禁止进口源自阿根廷科尔多瓦的禽肉、蛋类及其产品”。继2023年4月1日WOAH报告之后，阿根廷科尔多瓦</w:t>
            </w:r>
            <w:r>
              <w:rPr>
                <w:color w:val="000000"/>
                <w:sz w:val="22"/>
                <w:szCs w:val="22"/>
              </w:rPr>
              <w:t>暴</w:t>
            </w:r>
            <w:bookmarkStart w:id="0" w:name="_GoBack"/>
            <w:bookmarkEnd w:id="0"/>
            <w:r>
              <w:rPr>
                <w:rFonts w:hint="eastAsia"/>
                <w:color w:val="000000"/>
                <w:sz w:val="22"/>
                <w:szCs w:val="22"/>
              </w:rPr>
              <w:t>发了高致病性禽流感（HPAI）。根据世界动物卫生组织（WOAH）《陆地动物卫生法典》第10.4章，沙特阿拉伯王国有必要防止HPAI病毒进入该国。因此，暂时禁止从阿根廷科尔多瓦进口禽肉、蛋类及其产品到沙特阿拉伯王国（暴露于高温或其他处理以确保HPAI病毒失活的加工禽肉和蛋制品除外，只要其符合批准的健康要求和标准，并具有阿根廷官方机构颁发的证明该产品无病毒的健康证明）。  </w:t>
            </w:r>
          </w:p>
        </w:tc>
      </w:tr>
    </w:tbl>
    <w:p>
      <w:pPr>
        <w:autoSpaceDN w:val="0"/>
        <w:adjustRightInd w:val="0"/>
        <w:snapToGrid w:val="0"/>
        <w:spacing w:line="560" w:lineRule="exact"/>
        <w:ind w:firstLineChars="265" w:firstLine="848"/>
        <w:rPr>
          <w:rFonts w:ascii="方正仿宋_GBK" w:eastAsia="方正仿宋_GBK" w:cs="Times New Roman"/>
          <w:sz w:val="32"/>
          <w:szCs w:val="32"/>
        </w:rPr>
      </w:pPr>
      <w:r>
        <w:rPr>
          <w:rStyle w:val="19Char"/>
          <w:rFonts w:ascii="方正仿宋_GBK" w:eastAsia="方正仿宋_GBK" w:cs="方正仿宋_GBK" w:hint="eastAsia"/>
          <w:kern w:val="0"/>
          <w:sz w:val="32"/>
          <w:szCs w:val="32"/>
        </w:rPr>
        <w:t>感谢关注武汉海关的技术性贸易措施工作！后期，我们将持续收集和更新</w:t>
      </w:r>
      <w:r>
        <w:rPr>
          <w:rFonts w:ascii="方正仿宋_GBK" w:eastAsia="方正仿宋_GBK" w:cs="方正仿宋_GBK" w:hint="eastAsia"/>
          <w:sz w:val="32"/>
          <w:szCs w:val="32"/>
        </w:rPr>
        <w:t>各国（地区）技术性贸易措施</w:t>
      </w:r>
      <w:r>
        <w:rPr>
          <w:rStyle w:val="19Char"/>
          <w:rFonts w:ascii="方正仿宋_GBK" w:eastAsia="方正仿宋_GBK" w:cs="方正仿宋_GBK" w:hint="eastAsia"/>
          <w:kern w:val="0"/>
          <w:sz w:val="32"/>
          <w:szCs w:val="32"/>
        </w:rPr>
        <w:t>，</w:t>
      </w:r>
      <w:r>
        <w:rPr>
          <w:rFonts w:ascii="方正仿宋_GBK" w:eastAsia="方正仿宋_GBK" w:cs="方正仿宋_GBK" w:hint="eastAsia"/>
          <w:sz w:val="32"/>
          <w:szCs w:val="32"/>
        </w:rPr>
        <w:t>根据需要及时向社会公布</w:t>
      </w:r>
      <w:r>
        <w:rPr>
          <w:rStyle w:val="19Char"/>
          <w:rFonts w:ascii="方正仿宋_GBK" w:eastAsia="方正仿宋_GBK" w:cs="方正仿宋_GBK" w:hint="eastAsia"/>
          <w:kern w:val="0"/>
          <w:sz w:val="32"/>
          <w:szCs w:val="32"/>
        </w:rPr>
        <w:t>，优化营商环境，</w:t>
      </w:r>
      <w:r>
        <w:rPr>
          <w:rFonts w:ascii="方正仿宋_GBK" w:eastAsia="方正仿宋_GBK" w:cs="方正仿宋_GBK" w:hint="eastAsia"/>
          <w:sz w:val="32"/>
          <w:szCs w:val="32"/>
        </w:rPr>
        <w:t>做好稳外贸稳外资工作，服务外贸企业，帮助企业有效应对，降低技术性贸易措施带来的影响和损失。</w:t>
      </w:r>
    </w:p>
    <w:p>
      <w:pPr>
        <w:pStyle w:val="20"/>
        <w:ind w:firstLineChars="200" w:firstLine="640"/>
        <w:jc w:val="center"/>
        <w:rPr>
          <w:rFonts w:ascii="方正仿宋_GBK" w:eastAsia="方正仿宋_GBK" w:cs="Times New Roman"/>
          <w:sz w:val="32"/>
          <w:szCs w:val="32"/>
        </w:rPr>
      </w:pPr>
      <w:r>
        <w:rPr>
          <w:rFonts w:ascii="方正仿宋_GBK" w:eastAsia="方正仿宋_GBK" w:cs="方正仿宋_GBK" w:hint="eastAsia"/>
          <w:sz w:val="32"/>
          <w:szCs w:val="32"/>
        </w:rPr>
        <w:t xml:space="preserve">                                                               武汉海关</w:t>
      </w:r>
    </w:p>
    <w:p>
      <w:pPr>
        <w:autoSpaceDN w:val="0"/>
        <w:ind w:right="480" w:firstLineChars="200" w:firstLine="640"/>
        <w:jc w:val="right"/>
        <w:rPr>
          <w:rFonts w:cs="Times New Roman"/>
        </w:rPr>
      </w:pPr>
      <w:r>
        <w:rPr>
          <w:rFonts w:ascii="Times New Roman" w:eastAsia="方正仿宋_GBK" w:cs="Times New Roman" w:hAnsi="Times New Roman"/>
          <w:sz w:val="32"/>
          <w:szCs w:val="32"/>
        </w:rPr>
        <w:t>202</w:t>
      </w:r>
      <w:r>
        <w:rPr>
          <w:rFonts w:ascii="Times New Roman" w:eastAsia="方正仿宋_GBK" w:cs="Times New Roman" w:hAnsi="Times New Roman" w:hint="eastAsia"/>
          <w:sz w:val="32"/>
          <w:szCs w:val="32"/>
        </w:rPr>
        <w:t>3</w:t>
      </w:r>
      <w:r>
        <w:rPr>
          <w:rFonts w:ascii="Times New Roman" w:eastAsia="方正仿宋_GBK" w:cs="方正仿宋_GBK" w:hAnsi="Times New Roman" w:hint="eastAsia"/>
          <w:sz w:val="32"/>
          <w:szCs w:val="32"/>
        </w:rPr>
        <w:t>年</w:t>
      </w:r>
      <w:r>
        <w:rPr>
          <w:rFonts w:ascii="Times New Roman" w:eastAsia="方正仿宋_GBK" w:cs="Times New Roman" w:hAnsi="Times New Roman" w:hint="eastAsia"/>
          <w:sz w:val="32"/>
          <w:szCs w:val="32"/>
        </w:rPr>
        <w:t>6</w:t>
      </w:r>
      <w:r>
        <w:rPr>
          <w:rFonts w:ascii="Times New Roman" w:eastAsia="方正仿宋_GBK" w:cs="方正仿宋_GBK" w:hAnsi="Times New Roman" w:hint="eastAsia"/>
          <w:sz w:val="32"/>
          <w:szCs w:val="32"/>
        </w:rPr>
        <w:t>月</w:t>
      </w:r>
      <w:r>
        <w:rPr>
          <w:rFonts w:ascii="Times New Roman" w:eastAsia="方正仿宋_GBK" w:cs="Times New Roman" w:hAnsi="Times New Roman" w:hint="eastAsia"/>
          <w:sz w:val="32"/>
          <w:szCs w:val="32"/>
        </w:rPr>
        <w:t>8</w:t>
      </w:r>
      <w:r>
        <w:rPr>
          <w:rFonts w:ascii="Times New Roman" w:eastAsia="方正仿宋_GBK" w:cs="方正仿宋_GBK" w:hAnsi="Times New Roman" w:hint="eastAsia"/>
          <w:sz w:val="32"/>
          <w:szCs w:val="32"/>
        </w:rPr>
        <w:t>日</w:t>
      </w:r>
    </w:p>
    <w:sectPr>
      <w:pgSz w:w="16838" w:h="11906" w:orient="landscape"/>
      <w:pgMar w:top="1800" w:right="1440" w:bottom="1800" w:left="144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方正楷体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noLineBreaksAfter w:lang="zh-CN" w:val="$([{£¥·‘“〈《「『【〔〖〝﹙﹛﹝＄（．［｛￡￥"/>
  <w:noLineBreaksBefore w:lang="zh-CN" w:val="!%),.:;&gt;?]}¢¨°·ˇˉ―‖’”…‰′″›℃∶、。〃〉》」』】〕〗〞︶︺︾﹀﹄﹚﹜﹞！＂％＇），．：；？］｀｜｝～￠"/>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Calibri" w:hAnsi="Calibri"/>
      <w:kern w:val="2"/>
      <w:sz w:val="21"/>
      <w:szCs w:val="21"/>
      <w:lang w:val="en-US" w:eastAsia="zh-CN" w:bidi="ar-SA"/>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character" w:customStyle="1" w:styleId="17">
    <w:name w:val="NormalCharacter"/>
  </w:style>
  <w:style w:type="character" w:customStyle="1" w:styleId="18">
    <w:name w:val="im-content1"/>
    <w:basedOn w:val="10"/>
    <w:rPr>
      <w:color w:val="000000"/>
    </w:rPr>
  </w:style>
  <w:style w:type="paragraph" w:customStyle="1" w:styleId="19">
    <w:name w:val="样式"/>
    <w:link w:val="19Char"/>
    <w:rPr>
      <w:rFonts w:ascii="Times New Roman" w:eastAsia="宋体" w:cs="Times New Roman" w:hAnsi="Times New Roman"/>
      <w:lang w:val="en-US" w:eastAsia="zh-CN" w:bidi="ar-SA"/>
    </w:rPr>
  </w:style>
  <w:style w:type="character" w:customStyle="1" w:styleId="19Char">
    <w:name w:val="样式 Char"/>
    <w:basedOn w:val="10"/>
    <w:link w:val="19"/>
    <w:rPr>
      <w:rFonts w:ascii="Times New Roman" w:eastAsia="宋体" w:cs="Times New Roman" w:hAnsi="Times New Roman"/>
      <w:lang w:val="en-US" w:eastAsia="zh-CN" w:bidi="ar-SA"/>
    </w:rPr>
  </w:style>
  <w:style w:type="paragraph" w:customStyle="1" w:styleId="20">
    <w:name w:val="样式 1 10 磅"/>
    <w:pPr>
      <w:widowControl w:val="0"/>
      <w:jc w:val="both"/>
    </w:pPr>
    <w:rPr>
      <w:rFonts w:ascii="Calibri" w:eastAsia="宋体" w:cs="Calibri" w:hAnsi="Calibri"/>
      <w:kern w:val="2"/>
      <w:sz w:val="21"/>
      <w:szCs w:val="21"/>
      <w:lang w:val="en-US" w:eastAsia="zh-CN" w:bidi="ar-SA"/>
    </w:rPr>
  </w:style>
  <w:style w:type="character" w:customStyle="1" w:styleId="21">
    <w:name w:val="font21"/>
    <w:basedOn w:val="10"/>
    <w:rPr>
      <w:rFonts w:ascii="宋体" w:eastAsia="宋体" w:cs="宋体"/>
      <w:color w:val="000000"/>
      <w:sz w:val="18"/>
      <w:szCs w:val="18"/>
      <w:u w:val="none"/>
    </w:rPr>
  </w:style>
  <w:style w:type="character" w:customStyle="1" w:styleId="22">
    <w:name w:val="font31"/>
    <w:basedOn w:val="10"/>
    <w:rPr>
      <w:rFonts w:ascii="Calibri" w:cs="Calibri" w:hAnsi="Calibri"/>
      <w:color w:val="000000"/>
      <w:sz w:val="18"/>
      <w:szCs w:val="18"/>
      <w:u w:val="none"/>
    </w:rPr>
  </w:style>
  <w:style w:type="character" w:customStyle="1" w:styleId="23">
    <w:name w:val="font11"/>
    <w:basedOn w:val="10"/>
    <w:rPr>
      <w:rFonts w:ascii="Times New Roman" w:cs="Times New Roman" w:hAnsi="Times New Roman"/>
      <w:color w:val="000000"/>
      <w:sz w:val="24"/>
      <w:szCs w:val="24"/>
      <w:u w:val="none"/>
    </w:rPr>
  </w:style>
  <w:style w:type="character" w:customStyle="1" w:styleId="24">
    <w:name w:val="font51"/>
    <w:basedOn w:val="10"/>
    <w:rPr>
      <w:rFonts w:ascii="方正仿宋_GBK" w:eastAsia="方正仿宋_GBK" w:cs="方正仿宋_GBK"/>
      <w:color w:val="000000"/>
      <w:sz w:val="24"/>
      <w:szCs w:val="24"/>
      <w:u w:val="none"/>
    </w:rPr>
  </w:style>
  <w:style w:type="character" w:customStyle="1" w:styleId="25">
    <w:name w:val="font41"/>
    <w:basedOn w:val="10"/>
    <w:rPr>
      <w:rFonts w:ascii="方正仿宋_GBK" w:eastAsia="方正仿宋_GBK" w:cs="方正仿宋_GBK"/>
      <w:color w:val="000000"/>
      <w:sz w:val="24"/>
      <w:szCs w:val="24"/>
      <w:u w:val="none"/>
    </w:rPr>
  </w:style>
  <w:style w:type="character" w:customStyle="1" w:styleId="26">
    <w:name w:val="font61"/>
    <w:basedOn w:val="10"/>
    <w:rPr>
      <w:rFonts w:ascii="方正仿宋_GBK" w:eastAsia="方正仿宋_GBK" w:cs="方正仿宋_GBK"/>
      <w:color w:val="4D4D4D"/>
      <w:sz w:val="24"/>
      <w:szCs w:val="24"/>
      <w:u w:val="none"/>
    </w:rPr>
  </w:style>
  <w:style w:type="character" w:customStyle="1" w:styleId="27">
    <w:name w:val="font01"/>
    <w:basedOn w:val="10"/>
    <w:rPr>
      <w:rFonts w:ascii="宋体" w:eastAsia="宋体" w:cs="宋体"/>
      <w:color w:val="000000"/>
      <w:sz w:val="22"/>
      <w:szCs w:val="22"/>
      <w:u w:val="none"/>
    </w:rPr>
  </w:style>
  <w:style w:type="character" w:customStyle="1" w:styleId="28">
    <w:name w:val="font71"/>
    <w:basedOn w:val="10"/>
    <w:rPr>
      <w:rFonts w:ascii="Times New Roman" w:cs="Times New Roman" w:hAnsi="Times New Roman"/>
      <w:color w:val="auto"/>
      <w:sz w:val="32"/>
      <w:szCs w:val="32"/>
      <w:u w:val="none"/>
    </w:rPr>
  </w:style>
  <w:style w:type="character" w:customStyle="1" w:styleId="29">
    <w:name w:val="font81"/>
    <w:basedOn w:val="10"/>
    <w:rPr>
      <w:rFonts w:ascii="Times New Roman" w:cs="Times New Roman" w:hAnsi="Times New Roman"/>
      <w:color w:val="000000"/>
      <w:sz w:val="32"/>
      <w:szCs w:val="32"/>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893</TotalTime>
  <Application>Yozo_Office</Application>
  <Pages>16</Pages>
  <Words>18139</Words>
  <Characters>20624</Characters>
  <Lines>487</Lines>
  <Paragraphs>226</Paragraphs>
  <CharactersWithSpaces>20950</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title>武汉海关关于发布境外技术性贸易措施风险信息的提示</dc:title>
  <dc:creator>曾繁</dc:creator>
  <cp:lastModifiedBy>范思齐</cp:lastModifiedBy>
  <cp:revision>19</cp:revision>
  <dcterms:created xsi:type="dcterms:W3CDTF">2022-10-13T03:00:00Z</dcterms:created>
  <dcterms:modified xsi:type="dcterms:W3CDTF">2023-06-13T08:07:19Z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2052-11.1.0.13703</vt:lpwstr>
  </property>
  <property fmtid="{D5CDD505-2E9C-101B-9397-08002B2CF9AE}" pid="3" name="ICV">
    <vt:lpwstr>CF9849E3307943108F88771BECF146AD</vt:lpwstr>
  </property>
</Properties>
</file>