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360" w:lineRule="exact"/>
        <w:ind w:rightChars="-257" w:right="-540"/>
        <w:jc w:val="left"/>
        <w:outlineLvl w:val="0"/>
        <w:rPr>
          <w:rFonts w:ascii="方正黑体_GBK" w:eastAsia="方正黑体_GBK" w:cs="Times New Roman" w:hint="eastAsia"/>
          <w:sz w:val="32"/>
          <w:szCs w:val="32"/>
        </w:rPr>
      </w:pPr>
      <w:bookmarkStart w:id="0" w:name="_GoBack"/>
      <w:bookmarkEnd w:id="0"/>
    </w:p>
    <w:p>
      <w:pPr>
        <w:pStyle w:val="23"/>
        <w:spacing w:afterLines="50" w:after="156" w:line="560" w:lineRule="exact"/>
        <w:ind w:firstLine="720"/>
        <w:jc w:val="center"/>
        <w:rPr>
          <w:rFonts w:ascii="方正小标宋_GBK" w:eastAsia="方正小标宋_GBK" w:cs="方正小标宋_GBK" w:hint="eastAsia"/>
          <w:snapToGrid w:val="0"/>
          <w:sz w:val="36"/>
          <w:szCs w:val="36"/>
        </w:rPr>
      </w:pPr>
      <w:r>
        <w:rPr>
          <w:rFonts w:ascii="方正小标宋_GBK" w:eastAsia="方正小标宋_GBK" w:cs="方正小标宋_GBK" w:hint="eastAsia"/>
          <w:bCs/>
          <w:sz w:val="36"/>
          <w:szCs w:val="36"/>
        </w:rPr>
        <w:t>海关监管作业场所（场地）抽查结果公示单</w:t>
      </w:r>
    </w:p>
    <w:tbl>
      <w:tblPr>
        <w:jc w:val="center"/>
        <w:tblW w:w="13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1424"/>
        <w:gridCol w:w="1620"/>
        <w:gridCol w:w="1534"/>
        <w:gridCol w:w="1884"/>
        <w:gridCol w:w="2041"/>
        <w:gridCol w:w="4241"/>
      </w:tblGrid>
      <w:tr>
        <w:trPr>
          <w:trHeight w:val="570"/>
          <w:tblHeader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序号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主管海关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抽查时间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抽查对象</w:t>
            </w: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抽查事项</w:t>
            </w:r>
          </w:p>
        </w:tc>
        <w:tc>
          <w:tcPr>
            <w:tcW w:w="2041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抽查人员</w:t>
            </w:r>
          </w:p>
          <w:p>
            <w:pPr>
              <w:spacing w:line="360" w:lineRule="exact"/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（工号）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抽查结果</w:t>
            </w:r>
          </w:p>
        </w:tc>
      </w:tr>
      <w:tr>
        <w:trPr>
          <w:trHeight w:val="963"/>
        </w:trPr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>
            <w:pPr>
              <w:pStyle w:val="38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3"/>
              <w:snapToGrid w:val="0"/>
              <w:jc w:val="center"/>
              <w:rPr>
                <w:rFonts w:ascii="方正仿宋_GBK" w:eastAsia="方正仿宋_GBK" w:cs="Times New Roman" w:hint="eastAsia"/>
                <w:b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b/>
                <w:sz w:val="24"/>
                <w:szCs w:val="28"/>
              </w:rPr>
              <w:t>黄石海关</w:t>
            </w:r>
            <w:r>
              <w:rPr>
                <w:rFonts w:ascii="方正仿宋_GBK" w:eastAsia="方正仿宋_GBK" w:cs="Times New Roman"/>
                <w:b/>
                <w:sz w:val="24"/>
                <w:szCs w:val="28"/>
              </w:rPr>
              <w:t>(4704)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3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2024-07-24</w:t>
            </w:r>
          </w:p>
        </w:tc>
        <w:tc>
          <w:tcPr>
            <w:tcW w:w="1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6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黄石港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口岸棋盘洲港区进境粮食指定监管场地</w:t>
            </w: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6"/>
              <w:snapToGrid w:val="0"/>
              <w:jc w:val="left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围网和卡口通道；卡口运行情况；口岸前置拦截区；查验作业区；检疫处理区；场所用房设置；信息化管理系统；旅客通关作业场地；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邮检作业场所；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视频监控设备；监管货物超期存放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；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非海关监管货物情况；监管货物放行情况；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场所管理制度等；网络安全；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不符项的整改情况；口岸卫检情况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。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>
            <w:pPr>
              <w:pStyle w:val="33"/>
              <w:snapToGrid w:val="0"/>
              <w:spacing w:line="320" w:lineRule="exact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张勤（4710780）、孙中泽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（470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2980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）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 xml:space="preserve"> </w:t>
            </w:r>
          </w:p>
          <w:p>
            <w:pPr>
              <w:pStyle w:val="33"/>
              <w:snapToGrid w:val="0"/>
              <w:spacing w:line="320" w:lineRule="exact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>
            <w:pPr>
              <w:pStyle w:val="3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未见异常</w:t>
            </w:r>
          </w:p>
        </w:tc>
      </w:tr>
      <w:tr>
        <w:trPr>
          <w:trHeight w:val="547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4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b/>
                <w:sz w:val="24"/>
                <w:szCs w:val="28"/>
              </w:rPr>
              <w:t>黄石海关</w:t>
            </w:r>
            <w:r>
              <w:rPr>
                <w:rFonts w:ascii="方正仿宋_GBK" w:eastAsia="方正仿宋_GBK" w:cs="Times New Roman"/>
                <w:b/>
                <w:sz w:val="24"/>
                <w:szCs w:val="28"/>
              </w:rPr>
              <w:t>(4704)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2024-08-01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黄石新港监管作业场所</w:t>
            </w:r>
          </w:p>
          <w:p>
            <w:pPr>
              <w:pStyle w:val="39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9"/>
              <w:snapToGrid w:val="0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围网和卡口通道；卡口运行情况；口岸前置拦截区；查验作业区；检疫处理区；场所用房设置；信息化管理系统；旅客通关作业场地；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邮检作业场所；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视频监控设备；监管货物超期存放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；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非海关监管货物情况；监管货物放行情况；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场所管理制度等；网络安全；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不符项的整改情况；口岸卫检情况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。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5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张勤（4710780）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、孙中泽（4702980）</w:t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0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未见异常</w:t>
            </w:r>
          </w:p>
        </w:tc>
      </w:tr>
      <w:tr>
        <w:trPr>
          <w:trHeight w:val="981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4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4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4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4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4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b/>
                <w:sz w:val="24"/>
                <w:szCs w:val="28"/>
              </w:rPr>
              <w:t>黄石海关</w:t>
            </w:r>
            <w:r>
              <w:rPr>
                <w:rFonts w:ascii="方正仿宋_GBK" w:eastAsia="方正仿宋_GBK" w:cs="Times New Roman"/>
                <w:b/>
                <w:sz w:val="24"/>
                <w:szCs w:val="28"/>
              </w:rPr>
              <w:t>(4704)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2024-08-07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黄石港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口岸棋盘洲港区进境粮食指定监管场所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9"/>
              <w:snapToGrid w:val="0"/>
              <w:rPr>
                <w:rFonts w:ascii="方正仿宋_GBK" w:eastAsia="方正仿宋_GBK" w:cs="Times New Roman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围网和卡口通道；卡口运行情况；口岸前置拦截区；查验作业区；检疫处理区；场所用房设置；信息化管理系统；旅客通关作业场地；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邮检作业场所；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视频监控设备；监管货物超期存放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；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非海关监管货物情况；监管货物放行情况；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场所管理制度等；网络安全；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不符项的整改情况；口岸卫检情况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。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5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孙中泽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（47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02980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）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、张勤（4710780）</w:t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0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未见异常</w:t>
            </w:r>
          </w:p>
        </w:tc>
      </w:tr>
      <w:tr>
        <w:trPr>
          <w:trHeight w:val="981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4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b/>
                <w:sz w:val="24"/>
                <w:szCs w:val="28"/>
              </w:rPr>
              <w:t>黄石海关</w:t>
            </w:r>
            <w:r>
              <w:rPr>
                <w:rFonts w:ascii="方正仿宋_GBK" w:eastAsia="方正仿宋_GBK" w:cs="Times New Roman"/>
                <w:b/>
                <w:sz w:val="24"/>
                <w:szCs w:val="28"/>
              </w:rPr>
              <w:t>(4704)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2024-08-14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黄石新港监管作业场所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left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围网和卡口通道；卡口运行情况；口岸前置拦截区；查验作业区；检疫处理区；场所用房设置；信息化管理系统；旅客通关作业场地；视频监控设备；监管货物超期存放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；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非海关监管货物情况；监管货物放行情况；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场所管理制度等；网络安全；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不符项的整改情况；口岸卫检情况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。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5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卢慰（4705570）、孙中泽（4702980）</w:t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0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未见异常</w:t>
            </w:r>
          </w:p>
        </w:tc>
      </w:tr>
    </w:tbl>
    <w:p>
      <w:pPr>
        <w:jc w:val="left"/>
      </w:pPr>
    </w:p>
    <w:sectPr>
      <w:pgSz w:w="16838" w:h="11906" w:orient="landscape"/>
      <w:pgMar w:top="720" w:right="720" w:bottom="720" w:left="72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variable"/>
    <w:sig w:usb0="E0002AFF" w:usb1="C0007843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79"/>
  <w:displayBackgroundShape/>
  <w:bordersDoNotSurroundHeader/>
  <w:bordersDoNotSurroundFooter/>
  <w:trackRevisions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savePreviewPicture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styleId="15">
    <w:name w:val="line number"/>
    <w:basedOn w:val="10"/>
  </w:style>
  <w:style w:type="character" w:styleId="16">
    <w:name w:val="page number"/>
    <w:basedOn w:val="10"/>
  </w:style>
  <w:style w:type="character" w:styleId="17">
    <w:name w:val="endnote reference"/>
    <w:basedOn w:val="10"/>
    <w:rPr>
      <w:vertAlign w:val="superscript"/>
    </w:rPr>
  </w:style>
  <w:style w:type="character" w:styleId="18">
    <w:name w:val="annotation reference"/>
    <w:basedOn w:val="10"/>
    <w:rPr>
      <w:sz w:val="21"/>
    </w:rPr>
  </w:style>
  <w:style w:type="character" w:styleId="19">
    <w:name w:val="footnote reference"/>
    <w:basedOn w:val="10"/>
    <w:rPr>
      <w:vertAlign w:val="superscript"/>
    </w:rPr>
  </w:style>
  <w:style w:type="paragraph" w:styleId="20">
    <w:name w:val="endnote text"/>
    <w:basedOn w:val="0"/>
    <w:pPr>
      <w:snapToGrid w:val="0"/>
      <w:jc w:val="left"/>
    </w:pPr>
  </w:style>
  <w:style w:type="paragraph" w:styleId="21">
    <w:name w:val="caption"/>
    <w:basedOn w:val="0"/>
    <w:next w:val="0"/>
    <w:rPr>
      <w:rFonts w:ascii="Arial" w:eastAsia="黑体" w:hAnsi="Arial"/>
      <w:b/>
      <w:sz w:val="20"/>
    </w:rPr>
  </w:style>
  <w:style w:type="paragraph" w:styleId="22">
    <w:name w:val="annotation text"/>
    <w:basedOn w:val="0"/>
    <w:pPr>
      <w:jc w:val="left"/>
    </w:pPr>
  </w:style>
  <w:style w:type="paragraph" w:styleId="23">
    <w:name w:val="Plain Text"/>
    <w:pPr>
      <w:widowControl w:val="0"/>
      <w:jc w:val="both"/>
    </w:pPr>
    <w:rPr>
      <w:rFonts w:ascii="宋体" w:eastAsia="宋体" w:cs="Courier New"/>
      <w:kern w:val="2"/>
      <w:sz w:val="21"/>
      <w:szCs w:val="21"/>
      <w:lang w:val="en-US" w:eastAsia="zh-CN" w:bidi="ar-SA"/>
    </w:rPr>
  </w:style>
  <w:style w:type="paragraph" w:styleId="24">
    <w:name w:val="table of authorities"/>
    <w:basedOn w:val="0"/>
    <w:next w:val="0"/>
    <w:pPr>
      <w:ind w:left="420"/>
    </w:pPr>
  </w:style>
  <w:style w:type="paragraph" w:styleId="25">
    <w:name w:val="table of figures"/>
    <w:basedOn w:val="0"/>
    <w:next w:val="0"/>
  </w:style>
  <w:style w:type="paragraph" w:styleId="26">
    <w:name w:val="footnote text"/>
    <w:basedOn w:val="0"/>
    <w:pPr>
      <w:snapToGrid w:val="0"/>
      <w:jc w:val="left"/>
    </w:pPr>
    <w:rPr>
      <w:sz w:val="18"/>
    </w:rPr>
  </w:style>
  <w:style w:type="paragraph" w:styleId="27">
    <w:name w:val="index heading"/>
    <w:basedOn w:val="0"/>
    <w:next w:val="28"/>
    <w:rPr>
      <w:rFonts w:ascii="Arial" w:hAnsi="Arial"/>
      <w:b/>
    </w:rPr>
  </w:style>
  <w:style w:type="paragraph" w:styleId="28">
    <w:name w:val="index 1"/>
    <w:basedOn w:val="0"/>
    <w:next w:val="0"/>
  </w:style>
  <w:style w:type="paragraph" w:styleId="29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30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customStyle="1" w:styleId="31">
    <w:name w:val="样式 8 10 磅"/>
    <w:next w:val="21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2">
    <w:name w:val="样式 5 10 磅"/>
    <w:next w:val="29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3">
    <w:name w:val="样式 7 10 磅"/>
    <w:next w:val="27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4">
    <w:name w:val="样式 1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5">
    <w:name w:val="样式 1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6">
    <w:name w:val="样式 6 10 磅"/>
    <w:next w:val="30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7">
    <w:name w:val="样式 1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8">
    <w:name w:val="样式 2 10 磅"/>
    <w:next w:val="26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9">
    <w:name w:val="样式 1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0">
    <w:name w:val="样式 17 10 磅"/>
    <w:next w:val="20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1">
    <w:name w:val="样式 1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2">
    <w:name w:val="样式 18 10 磅"/>
    <w:next w:val="24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3">
    <w:name w:val="样式 4 10 磅"/>
    <w:next w:val="22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4">
    <w:name w:val="样式 9 10 磅"/>
    <w:next w:val="25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45">
    <w:name w:val="Balloon Text"/>
    <w:basedOn w:val="0"/>
    <w:rPr>
      <w:sz w:val="18"/>
      <w:szCs w:val="18"/>
    </w:rPr>
  </w:style>
  <w:style w:type="paragraph" w:customStyle="1" w:styleId="46">
    <w:name w:val="样式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7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8">
    <w:name w:val="样式 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9">
    <w:name w:val="样式 1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0">
    <w:name w:val="样式 1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1">
    <w:name w:val="样式 1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2">
    <w:name w:val="样式 2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3">
    <w:name w:val="样式 2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4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5">
    <w:name w:val="样式 2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6">
    <w:name w:val="样式 2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7">
    <w:name w:val="样式 2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8">
    <w:name w:val="样式 2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9">
    <w:name w:val="样式 2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0">
    <w:name w:val="样式 2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1">
    <w:name w:val="样式 2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2">
    <w:name w:val="样式 3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3">
    <w:name w:val="样式 3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4">
    <w:name w:val="样式 3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5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6">
    <w:name w:val="样式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67">
    <w:name w:val="样式 3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8">
    <w:name w:val="样式 3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9">
    <w:name w:val="样式 3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0">
    <w:name w:val="样式 3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1">
    <w:name w:val="样式 3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2">
    <w:name w:val="样式 1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73">
    <w:name w:val="样式 3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4">
    <w:name w:val="样式 4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5">
    <w:name w:val="样式 4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6">
    <w:name w:val="样式 4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7">
    <w:name w:val="样式 4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8">
    <w:name w:val="样式 4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9">
    <w:name w:val="样式 4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0">
    <w:name w:val="样式 4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1">
    <w:name w:val="样式 4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2">
    <w:name w:val="样式 4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3">
    <w:name w:val="样式 4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4">
    <w:name w:val="样式 5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5">
    <w:name w:val="样式 5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6">
    <w:name w:val="样式 5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7">
    <w:name w:val="样式 5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8">
    <w:name w:val="样式 5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9">
    <w:name w:val="样式 5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0">
    <w:name w:val="样式 5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1">
    <w:name w:val="样式 5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2">
    <w:name w:val="样式 5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3">
    <w:name w:val="样式 5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4">
    <w:name w:val="样式 2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95">
    <w:name w:val="样式 6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6">
    <w:name w:val="样式 6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7">
    <w:name w:val="样式 6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8">
    <w:name w:val="样式 6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9">
    <w:name w:val="样式 6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00">
    <w:name w:val="样式 6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01">
    <w:name w:val="样式 6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02">
    <w:name w:val="样式 6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03">
    <w:name w:val="样式 6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04">
    <w:name w:val="样式 6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05">
    <w:name w:val="样式 7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423</TotalTime>
  <Application>Yozo_Office</Application>
  <Pages>3</Pages>
  <Words>714</Words>
  <Characters>818</Characters>
  <Lines>175</Lines>
  <Paragraphs>37</Paragraphs>
  <CharactersWithSpaces>820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杨光</dc:creator>
  <cp:lastModifiedBy>余琛</cp:lastModifiedBy>
  <cp:revision>2</cp:revision>
  <cp:lastPrinted>2023-11-30T09:36:00Z</cp:lastPrinted>
  <dcterms:created xsi:type="dcterms:W3CDTF">2023-12-19T01:44:00Z</dcterms:created>
  <dcterms:modified xsi:type="dcterms:W3CDTF">2024-08-27T01:04:12Z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2052-11.1.0.9662</vt:lpwstr>
  </property>
</Properties>
</file>